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w:t>
      </w:r>
      <w:r w:rsidR="00EC1706">
        <w:rPr>
          <w:b/>
          <w:sz w:val="28"/>
        </w:rPr>
        <w:t>5-16</w:t>
      </w:r>
      <w:r w:rsidR="00143D90">
        <w:rPr>
          <w:b/>
          <w:sz w:val="28"/>
        </w:rPr>
        <w:t xml:space="preserve"> (November – December)</w:t>
      </w:r>
    </w:p>
    <w:p w:rsidR="00422502" w:rsidRDefault="00422502" w:rsidP="0035028E">
      <w:pPr>
        <w:jc w:val="center"/>
        <w:rPr>
          <w:b/>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5103"/>
        <w:gridCol w:w="1559"/>
        <w:gridCol w:w="142"/>
        <w:gridCol w:w="1418"/>
      </w:tblGrid>
      <w:tr w:rsidR="00422502" w:rsidRPr="00417C2D" w:rsidTr="00422502">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2502" w:rsidRPr="00417C2D" w:rsidRDefault="00422502" w:rsidP="00422502">
            <w:pPr>
              <w:rPr>
                <w:rFonts w:cs="Arial"/>
                <w:b/>
              </w:rPr>
            </w:pPr>
            <w:r>
              <w:rPr>
                <w:rFonts w:cs="Arial"/>
                <w:b/>
              </w:rPr>
              <w:t xml:space="preserve">Asset Management Plan – 9 December Scrutiny Committee </w:t>
            </w:r>
          </w:p>
        </w:tc>
      </w:tr>
      <w:tr w:rsidR="00422502" w:rsidRPr="003E7E28" w:rsidTr="00422502">
        <w:tc>
          <w:tcPr>
            <w:tcW w:w="4678" w:type="dxa"/>
            <w:shd w:val="clear" w:color="auto" w:fill="auto"/>
            <w:vAlign w:val="center"/>
          </w:tcPr>
          <w:p w:rsidR="00422502" w:rsidRPr="003E7E28" w:rsidRDefault="00422502" w:rsidP="00422502">
            <w:pPr>
              <w:rPr>
                <w:rFonts w:cs="Arial"/>
                <w:b/>
              </w:rPr>
            </w:pPr>
            <w:r w:rsidRPr="003E7E28">
              <w:rPr>
                <w:rFonts w:cs="Arial"/>
                <w:b/>
              </w:rPr>
              <w:t>Recommendation</w:t>
            </w:r>
          </w:p>
        </w:tc>
        <w:tc>
          <w:tcPr>
            <w:tcW w:w="992" w:type="dxa"/>
            <w:shd w:val="clear" w:color="auto" w:fill="auto"/>
            <w:vAlign w:val="center"/>
          </w:tcPr>
          <w:p w:rsidR="00422502" w:rsidRPr="003E7E28" w:rsidRDefault="00422502" w:rsidP="00422502">
            <w:pPr>
              <w:rPr>
                <w:rFonts w:cs="Arial"/>
                <w:b/>
              </w:rPr>
            </w:pPr>
            <w:r w:rsidRPr="003E7E28">
              <w:rPr>
                <w:rFonts w:cs="Arial"/>
                <w:b/>
              </w:rPr>
              <w:t>Agreed Y/N</w:t>
            </w:r>
          </w:p>
        </w:tc>
        <w:tc>
          <w:tcPr>
            <w:tcW w:w="5103" w:type="dxa"/>
            <w:shd w:val="clear" w:color="auto" w:fill="auto"/>
            <w:vAlign w:val="center"/>
          </w:tcPr>
          <w:p w:rsidR="00422502" w:rsidRPr="003E7E28" w:rsidRDefault="00422502" w:rsidP="00422502">
            <w:pPr>
              <w:rPr>
                <w:rFonts w:cs="Arial"/>
                <w:b/>
              </w:rPr>
            </w:pPr>
            <w:r w:rsidRPr="003E7E28">
              <w:rPr>
                <w:rFonts w:cs="Arial"/>
                <w:b/>
              </w:rPr>
              <w:t>Executive response</w:t>
            </w:r>
          </w:p>
        </w:tc>
        <w:tc>
          <w:tcPr>
            <w:tcW w:w="1559" w:type="dxa"/>
            <w:vAlign w:val="center"/>
          </w:tcPr>
          <w:p w:rsidR="00422502" w:rsidRPr="003E7E28" w:rsidRDefault="00422502" w:rsidP="00422502">
            <w:pPr>
              <w:rPr>
                <w:rFonts w:cs="Arial"/>
                <w:b/>
              </w:rPr>
            </w:pPr>
            <w:r w:rsidRPr="003E7E28">
              <w:rPr>
                <w:rFonts w:cs="Arial"/>
                <w:b/>
              </w:rPr>
              <w:t xml:space="preserve">Lead Member &amp; Officer </w:t>
            </w:r>
          </w:p>
        </w:tc>
        <w:tc>
          <w:tcPr>
            <w:tcW w:w="1560" w:type="dxa"/>
            <w:gridSpan w:val="2"/>
            <w:vAlign w:val="center"/>
          </w:tcPr>
          <w:p w:rsidR="00422502" w:rsidRPr="003E7E28" w:rsidRDefault="00422502" w:rsidP="00422502">
            <w:pPr>
              <w:rPr>
                <w:rFonts w:cs="Arial"/>
                <w:b/>
              </w:rPr>
            </w:pPr>
            <w:r w:rsidRPr="003E7E28">
              <w:rPr>
                <w:rFonts w:cs="Arial"/>
                <w:b/>
              </w:rPr>
              <w:t>Implemented Y/N / due date</w:t>
            </w:r>
          </w:p>
        </w:tc>
      </w:tr>
      <w:tr w:rsidR="00422502" w:rsidRPr="003E7E28" w:rsidTr="00422502">
        <w:tc>
          <w:tcPr>
            <w:tcW w:w="4678" w:type="dxa"/>
            <w:shd w:val="clear" w:color="auto" w:fill="auto"/>
          </w:tcPr>
          <w:p w:rsidR="00422502" w:rsidRPr="00AB551A" w:rsidRDefault="00422502" w:rsidP="00422502">
            <w:pPr>
              <w:rPr>
                <w:rFonts w:cs="Arial"/>
              </w:rPr>
            </w:pPr>
            <w:r>
              <w:rPr>
                <w:rFonts w:cs="Arial"/>
              </w:rPr>
              <w:t xml:space="preserve">1. </w:t>
            </w:r>
            <w:r w:rsidRPr="00AB551A">
              <w:rPr>
                <w:rFonts w:cs="Arial"/>
              </w:rPr>
              <w:t>The City Council should take a structured approach to evaluating social value throughout the Plan using the Social Value Act 2012, which provides a framework for quantifying social value.</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64005" w:rsidRDefault="00422502" w:rsidP="00422502">
            <w:pPr>
              <w:rPr>
                <w:rFonts w:cs="Arial"/>
              </w:rPr>
            </w:pPr>
            <w:r w:rsidRPr="00A64005">
              <w:rPr>
                <w:rFonts w:cs="Arial"/>
              </w:rPr>
              <w:t xml:space="preserve">We are not sure how valid or appropriate this is in practice. The act is primarily one about procuring for best value and particularly those matters falling within European Procurement rules </w:t>
            </w:r>
            <w:proofErr w:type="spellStart"/>
            <w:r w:rsidRPr="00A64005">
              <w:rPr>
                <w:rFonts w:cs="Arial"/>
              </w:rPr>
              <w:t>ie</w:t>
            </w:r>
            <w:proofErr w:type="spellEnd"/>
            <w:r w:rsidRPr="00A64005">
              <w:rPr>
                <w:rFonts w:cs="Arial"/>
              </w:rPr>
              <w:t xml:space="preserve"> large scale high value projects.</w:t>
            </w:r>
          </w:p>
          <w:p w:rsidR="00422502" w:rsidRPr="00A64005" w:rsidRDefault="00422502" w:rsidP="00422502">
            <w:pPr>
              <w:rPr>
                <w:rFonts w:cs="Arial"/>
              </w:rPr>
            </w:pPr>
          </w:p>
          <w:p w:rsidR="00422502" w:rsidRPr="00A64005" w:rsidRDefault="00422502" w:rsidP="00422502">
            <w:pPr>
              <w:rPr>
                <w:rFonts w:cs="Arial"/>
              </w:rPr>
            </w:pPr>
            <w:r w:rsidRPr="00A64005">
              <w:rPr>
                <w:rFonts w:cs="Arial"/>
              </w:rPr>
              <w:t>Probably it is the templates and other guidance that sit behind the act that are useful but for the majority of our activity they would be extremely cumbersome potentially bureaucratic, resource hungry and probably inappropriate although some elements may have some potential.</w:t>
            </w:r>
            <w:bookmarkStart w:id="0" w:name="_GoBack"/>
            <w:bookmarkEnd w:id="0"/>
          </w:p>
          <w:p w:rsidR="00422502" w:rsidRPr="00A64005" w:rsidRDefault="00422502" w:rsidP="00422502">
            <w:pPr>
              <w:rPr>
                <w:rFonts w:cs="Arial"/>
              </w:rPr>
            </w:pPr>
          </w:p>
          <w:p w:rsidR="00422502" w:rsidRPr="00A64005" w:rsidRDefault="00422502" w:rsidP="00422502">
            <w:pPr>
              <w:rPr>
                <w:rFonts w:cs="Arial"/>
              </w:rPr>
            </w:pPr>
            <w:r w:rsidRPr="00A64005">
              <w:rPr>
                <w:rFonts w:cs="Arial"/>
              </w:rPr>
              <w:t xml:space="preserve">Would suggest we perhaps add the following </w:t>
            </w:r>
          </w:p>
          <w:p w:rsidR="00422502" w:rsidRPr="00A64005" w:rsidRDefault="00422502" w:rsidP="00422502">
            <w:pPr>
              <w:rPr>
                <w:rFonts w:cs="Arial"/>
              </w:rPr>
            </w:pPr>
          </w:p>
          <w:p w:rsidR="00422502" w:rsidRDefault="00422502" w:rsidP="00422502">
            <w:pPr>
              <w:rPr>
                <w:rFonts w:cs="Arial"/>
                <w:i/>
                <w:iCs/>
              </w:rPr>
            </w:pPr>
            <w:r w:rsidRPr="00A64005">
              <w:rPr>
                <w:rFonts w:cs="Arial"/>
                <w:i/>
                <w:iCs/>
              </w:rPr>
              <w:t xml:space="preserve">Page 3 of AMP after ‘education’ in paragraph 6 of </w:t>
            </w:r>
          </w:p>
          <w:p w:rsidR="00422502" w:rsidRPr="00AC577F" w:rsidRDefault="00422502" w:rsidP="00422502">
            <w:pPr>
              <w:rPr>
                <w:rFonts w:cs="Arial"/>
              </w:rPr>
            </w:pPr>
            <w:r w:rsidRPr="00A64005">
              <w:rPr>
                <w:rFonts w:cs="Arial"/>
                <w:i/>
                <w:iCs/>
              </w:rPr>
              <w:t>Asset Management the Oxford Way the words ‘social, environmental’ and to the end of the paragraph the words ‘ and will use the Public Services (Social Value) Act 2012 and supporting guidance as a framework for quantifying Social Value where appropriate.</w:t>
            </w:r>
          </w:p>
        </w:tc>
        <w:tc>
          <w:tcPr>
            <w:tcW w:w="1559" w:type="dxa"/>
          </w:tcPr>
          <w:p w:rsidR="00422502" w:rsidRPr="003E7E28" w:rsidRDefault="00422502" w:rsidP="00422502">
            <w:pPr>
              <w:rPr>
                <w:rFonts w:cs="Arial"/>
              </w:rPr>
            </w:pPr>
            <w:r>
              <w:rPr>
                <w:rFonts w:cs="Arial"/>
              </w:rPr>
              <w:t>Cllr Turner / Diane Phillips</w:t>
            </w:r>
          </w:p>
        </w:tc>
        <w:tc>
          <w:tcPr>
            <w:tcW w:w="1560" w:type="dxa"/>
            <w:gridSpan w:val="2"/>
          </w:tcPr>
          <w:p w:rsidR="00422502" w:rsidRPr="003E7E28" w:rsidRDefault="00422502" w:rsidP="00422502">
            <w:pPr>
              <w:rPr>
                <w:rFonts w:cs="Arial"/>
              </w:rPr>
            </w:pPr>
            <w:r>
              <w:rPr>
                <w:rFonts w:cs="Arial"/>
              </w:rPr>
              <w:t>Y</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t xml:space="preserve">2. </w:t>
            </w:r>
            <w:r w:rsidRPr="00AB551A">
              <w:rPr>
                <w:rFonts w:cs="Arial"/>
              </w:rPr>
              <w:t>The City Council should, as a matter of course, consider the case for negotiating ‘green lease’ arrangements when existing leases are due for renewal;</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64005" w:rsidRDefault="00422502" w:rsidP="00422502">
            <w:pPr>
              <w:rPr>
                <w:rFonts w:cs="Arial"/>
              </w:rPr>
            </w:pPr>
            <w:r w:rsidRPr="00A64005">
              <w:rPr>
                <w:rFonts w:cs="Arial"/>
              </w:rPr>
              <w:t xml:space="preserve">The recommendation is effectively already captured within the existing AMP objective 4 which reflected our aspiration to investigate how we could move  in this direction but </w:t>
            </w:r>
            <w:r w:rsidRPr="00A64005">
              <w:rPr>
                <w:rFonts w:cs="Arial"/>
              </w:rPr>
              <w:lastRenderedPageBreak/>
              <w:t>reflected a reality around our existing portfolio of relatively long term legacy tenants and restrictions and limitations on changing terms through 1954 Landlord and Tenant Act.</w:t>
            </w:r>
          </w:p>
          <w:p w:rsidR="00422502" w:rsidRPr="00A64005" w:rsidRDefault="00422502" w:rsidP="00422502">
            <w:pPr>
              <w:rPr>
                <w:rFonts w:cs="Arial"/>
              </w:rPr>
            </w:pPr>
          </w:p>
          <w:p w:rsidR="00422502" w:rsidRPr="00A64005" w:rsidRDefault="00422502" w:rsidP="00422502">
            <w:pPr>
              <w:rPr>
                <w:rFonts w:cs="Arial"/>
              </w:rPr>
            </w:pPr>
            <w:r w:rsidRPr="00A64005">
              <w:rPr>
                <w:rFonts w:cs="Arial"/>
              </w:rPr>
              <w:t>We are happy to strengthen the wording to further acknowledge Scrutiny’s point and would suggest:</w:t>
            </w:r>
          </w:p>
          <w:p w:rsidR="00422502" w:rsidRPr="00A64005" w:rsidRDefault="00422502" w:rsidP="00422502">
            <w:pPr>
              <w:rPr>
                <w:rFonts w:cs="Arial"/>
              </w:rPr>
            </w:pPr>
          </w:p>
          <w:p w:rsidR="00422502" w:rsidRPr="00AC577F" w:rsidRDefault="00422502" w:rsidP="00422502">
            <w:pPr>
              <w:rPr>
                <w:rFonts w:cs="Arial"/>
              </w:rPr>
            </w:pPr>
            <w:r w:rsidRPr="00A64005">
              <w:rPr>
                <w:rFonts w:cs="Arial"/>
              </w:rPr>
              <w:t>Change Supplementary Indicators on page 13 of the AMP to ‘Consider green lease arrangements on renewals and new lettings where appropriate and possible’ and also change Actions on page 28 of AMP to Consider utilising green lease arrangements on renewals and new lettings where appropriate and possible’</w:t>
            </w:r>
          </w:p>
        </w:tc>
        <w:tc>
          <w:tcPr>
            <w:tcW w:w="1559" w:type="dxa"/>
          </w:tcPr>
          <w:p w:rsidR="00422502" w:rsidRPr="003E7E28" w:rsidRDefault="00422502" w:rsidP="00422502">
            <w:pPr>
              <w:rPr>
                <w:rFonts w:cs="Arial"/>
              </w:rPr>
            </w:pPr>
            <w:r>
              <w:rPr>
                <w:rFonts w:cs="Arial"/>
              </w:rPr>
              <w:lastRenderedPageBreak/>
              <w:t>Cllr Turner / Diane Phillips</w:t>
            </w:r>
          </w:p>
        </w:tc>
        <w:tc>
          <w:tcPr>
            <w:tcW w:w="1560" w:type="dxa"/>
            <w:gridSpan w:val="2"/>
          </w:tcPr>
          <w:p w:rsidR="00422502" w:rsidRPr="003E7E28" w:rsidRDefault="00422502" w:rsidP="00422502">
            <w:pPr>
              <w:rPr>
                <w:rFonts w:cs="Arial"/>
              </w:rPr>
            </w:pPr>
            <w:r>
              <w:rPr>
                <w:rFonts w:cs="Arial"/>
              </w:rPr>
              <w:t>Y</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lastRenderedPageBreak/>
              <w:t xml:space="preserve">3. </w:t>
            </w:r>
            <w:r w:rsidRPr="00AB551A">
              <w:rPr>
                <w:rFonts w:cs="Arial"/>
              </w:rPr>
              <w:t>When agricultural leases are due for renewal, the Council should explore all options including revenue opportunities, for example managing the land to generate forestry revenue;</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64005" w:rsidRDefault="00422502" w:rsidP="00422502">
            <w:pPr>
              <w:rPr>
                <w:rFonts w:cs="Arial"/>
              </w:rPr>
            </w:pPr>
            <w:r w:rsidRPr="00A64005">
              <w:rPr>
                <w:rFonts w:cs="Arial"/>
              </w:rPr>
              <w:t>Whilst we understand the Scrutiny view and their drive to potentially expand employment opportunities and drive further social benefit, open up access to opportunities in this sector the blanket approach to all agricultural land is likely to be overly onerous. Say where we are letting a small ‘pony paddock’ and other minor elements for instance.</w:t>
            </w:r>
          </w:p>
          <w:p w:rsidR="00422502" w:rsidRPr="00A64005" w:rsidRDefault="00422502" w:rsidP="00422502">
            <w:pPr>
              <w:rPr>
                <w:rFonts w:cs="Arial"/>
              </w:rPr>
            </w:pPr>
          </w:p>
          <w:p w:rsidR="00422502" w:rsidRPr="00A64005" w:rsidRDefault="00422502" w:rsidP="00422502">
            <w:pPr>
              <w:rPr>
                <w:rFonts w:cs="Arial"/>
              </w:rPr>
            </w:pPr>
            <w:r w:rsidRPr="00A64005">
              <w:rPr>
                <w:rFonts w:cs="Arial"/>
              </w:rPr>
              <w:t>Also most of our larger pieces of agricultural estate are locked into Agricultural Holding Act Tenancies and in most cases will not revert to us for perhaps a generation, so opportunities here will be very limited.</w:t>
            </w:r>
          </w:p>
          <w:p w:rsidR="00422502" w:rsidRPr="00A64005" w:rsidRDefault="00422502" w:rsidP="00422502">
            <w:pPr>
              <w:rPr>
                <w:rFonts w:cs="Arial"/>
              </w:rPr>
            </w:pPr>
          </w:p>
          <w:p w:rsidR="00422502" w:rsidRPr="00A64005" w:rsidRDefault="00422502" w:rsidP="00422502">
            <w:pPr>
              <w:rPr>
                <w:rFonts w:cs="Arial"/>
              </w:rPr>
            </w:pPr>
            <w:r w:rsidRPr="00A64005">
              <w:rPr>
                <w:rFonts w:cs="Arial"/>
              </w:rPr>
              <w:t xml:space="preserve">Suggest in order to acknowledge Scrutiny’s view we could add some further words as </w:t>
            </w:r>
            <w:r w:rsidRPr="00A64005">
              <w:rPr>
                <w:rFonts w:cs="Arial"/>
              </w:rPr>
              <w:lastRenderedPageBreak/>
              <w:t>follows:</w:t>
            </w:r>
          </w:p>
          <w:p w:rsidR="00422502" w:rsidRPr="00A64005" w:rsidRDefault="00422502" w:rsidP="00422502">
            <w:pPr>
              <w:rPr>
                <w:rFonts w:cs="Arial"/>
              </w:rPr>
            </w:pPr>
          </w:p>
          <w:p w:rsidR="00422502" w:rsidRPr="00AC577F" w:rsidRDefault="00422502" w:rsidP="00422502">
            <w:pPr>
              <w:rPr>
                <w:rFonts w:cs="Arial"/>
              </w:rPr>
            </w:pPr>
            <w:r w:rsidRPr="00A64005">
              <w:rPr>
                <w:rFonts w:cs="Arial"/>
                <w:i/>
                <w:iCs/>
              </w:rPr>
              <w:t>Action Point to 5.1.2 Agriculture ‘On lease renewal or lettings of agricultural land consider appropriateness of exploring wider options for use including revenue generating opportunities or added social value.</w:t>
            </w:r>
          </w:p>
        </w:tc>
        <w:tc>
          <w:tcPr>
            <w:tcW w:w="1559" w:type="dxa"/>
          </w:tcPr>
          <w:p w:rsidR="00422502" w:rsidRPr="003E7E28" w:rsidRDefault="00422502" w:rsidP="00422502">
            <w:pPr>
              <w:rPr>
                <w:rFonts w:cs="Arial"/>
              </w:rPr>
            </w:pPr>
            <w:r>
              <w:rPr>
                <w:rFonts w:cs="Arial"/>
              </w:rPr>
              <w:lastRenderedPageBreak/>
              <w:t>Cllr Turner / Diane Phillips</w:t>
            </w:r>
          </w:p>
        </w:tc>
        <w:tc>
          <w:tcPr>
            <w:tcW w:w="1560" w:type="dxa"/>
            <w:gridSpan w:val="2"/>
          </w:tcPr>
          <w:p w:rsidR="00422502" w:rsidRPr="003E7E28" w:rsidRDefault="00422502" w:rsidP="00422502">
            <w:pPr>
              <w:rPr>
                <w:rFonts w:cs="Arial"/>
              </w:rPr>
            </w:pPr>
            <w:r>
              <w:rPr>
                <w:rFonts w:cs="Arial"/>
              </w:rPr>
              <w:t>Y</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lastRenderedPageBreak/>
              <w:t xml:space="preserve">4. </w:t>
            </w:r>
            <w:r w:rsidRPr="00AB551A">
              <w:rPr>
                <w:rFonts w:cs="Arial"/>
              </w:rPr>
              <w:t>Add action under the Commercial Property heading (section 5.1.1 on p. 16 of the Plan) to aim to engage with the wider market and ask the landlords of vacant commercial properties to make temporary use of these premises, for example as pop-up shops.</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64005" w:rsidRDefault="00422502" w:rsidP="00422502">
            <w:pPr>
              <w:rPr>
                <w:rFonts w:cs="Arial"/>
              </w:rPr>
            </w:pPr>
            <w:r w:rsidRPr="00A64005">
              <w:rPr>
                <w:rFonts w:cs="Arial"/>
              </w:rPr>
              <w:t>We understand Scrutiny’s point here but our concern is one of resourcing and there is a question as to whether we can achieve any results when all action is in the hands of third parties.</w:t>
            </w:r>
          </w:p>
          <w:p w:rsidR="00422502" w:rsidRPr="00A64005" w:rsidRDefault="00422502" w:rsidP="00422502">
            <w:pPr>
              <w:rPr>
                <w:rFonts w:cs="Arial"/>
              </w:rPr>
            </w:pPr>
          </w:p>
          <w:p w:rsidR="00422502" w:rsidRPr="00A64005" w:rsidRDefault="00422502" w:rsidP="00422502">
            <w:pPr>
              <w:rPr>
                <w:rFonts w:cs="Arial"/>
              </w:rPr>
            </w:pPr>
            <w:r w:rsidRPr="00A64005">
              <w:rPr>
                <w:rFonts w:cs="Arial"/>
              </w:rPr>
              <w:t>We could though perhaps add after paragraph 6 in 5.1.1 Commercial Property the following:</w:t>
            </w:r>
          </w:p>
          <w:p w:rsidR="00422502" w:rsidRPr="00A64005" w:rsidRDefault="00422502" w:rsidP="00422502">
            <w:pPr>
              <w:rPr>
                <w:rFonts w:cs="Arial"/>
              </w:rPr>
            </w:pPr>
          </w:p>
          <w:p w:rsidR="00422502" w:rsidRPr="00AC577F" w:rsidRDefault="00422502" w:rsidP="00422502">
            <w:pPr>
              <w:rPr>
                <w:rFonts w:cs="Arial"/>
              </w:rPr>
            </w:pPr>
            <w:r w:rsidRPr="00A64005">
              <w:rPr>
                <w:rFonts w:cs="Arial"/>
                <w:i/>
                <w:iCs/>
              </w:rPr>
              <w:t xml:space="preserve">‘The Council will also where possible attempt to influence landlords and property owners of vacant commercial property in the city centre to bring these back into use and to consider temporary uses such as ‘pop up shops’ </w:t>
            </w:r>
            <w:proofErr w:type="spellStart"/>
            <w:r w:rsidRPr="00A64005">
              <w:rPr>
                <w:rFonts w:cs="Arial"/>
                <w:i/>
                <w:iCs/>
              </w:rPr>
              <w:t>etc</w:t>
            </w:r>
            <w:proofErr w:type="spellEnd"/>
            <w:r w:rsidRPr="00A64005">
              <w:rPr>
                <w:rFonts w:cs="Arial"/>
                <w:i/>
                <w:iCs/>
              </w:rPr>
              <w:t xml:space="preserve"> so as to assist in maintaining the vitality of the centre notwithstanding the relatively low level of vacancies in Oxford City Council.’</w:t>
            </w:r>
          </w:p>
        </w:tc>
        <w:tc>
          <w:tcPr>
            <w:tcW w:w="1559" w:type="dxa"/>
          </w:tcPr>
          <w:p w:rsidR="00422502" w:rsidRPr="003E7E28" w:rsidRDefault="00422502" w:rsidP="00422502">
            <w:pPr>
              <w:rPr>
                <w:rFonts w:cs="Arial"/>
              </w:rPr>
            </w:pPr>
            <w:r>
              <w:rPr>
                <w:rFonts w:cs="Arial"/>
              </w:rPr>
              <w:t>Cllr Turner / Diane Phillips</w:t>
            </w:r>
          </w:p>
        </w:tc>
        <w:tc>
          <w:tcPr>
            <w:tcW w:w="1560" w:type="dxa"/>
            <w:gridSpan w:val="2"/>
          </w:tcPr>
          <w:p w:rsidR="00422502" w:rsidRPr="003E7E28" w:rsidRDefault="00422502" w:rsidP="00422502">
            <w:pPr>
              <w:rPr>
                <w:rFonts w:cs="Arial"/>
              </w:rPr>
            </w:pPr>
            <w:r>
              <w:rPr>
                <w:rFonts w:cs="Arial"/>
              </w:rPr>
              <w:t>Y</w:t>
            </w:r>
          </w:p>
        </w:tc>
      </w:tr>
      <w:tr w:rsidR="00422502" w:rsidRPr="00417C2D" w:rsidTr="00422502">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2502" w:rsidRPr="00417C2D" w:rsidRDefault="00422502" w:rsidP="00422502">
            <w:pPr>
              <w:rPr>
                <w:rFonts w:cs="Arial"/>
                <w:b/>
              </w:rPr>
            </w:pPr>
            <w:r>
              <w:rPr>
                <w:rFonts w:cs="Arial"/>
                <w:b/>
              </w:rPr>
              <w:t xml:space="preserve">Resettling Syrian Refugees in Oxford – 9 December Scrutiny Committee </w:t>
            </w:r>
          </w:p>
        </w:tc>
      </w:tr>
      <w:tr w:rsidR="00422502" w:rsidRPr="003E7E28" w:rsidTr="00422502">
        <w:tc>
          <w:tcPr>
            <w:tcW w:w="4678" w:type="dxa"/>
            <w:shd w:val="clear" w:color="auto" w:fill="auto"/>
            <w:vAlign w:val="center"/>
          </w:tcPr>
          <w:p w:rsidR="00422502" w:rsidRPr="003E7E28" w:rsidRDefault="00422502" w:rsidP="00422502">
            <w:pPr>
              <w:rPr>
                <w:rFonts w:cs="Arial"/>
                <w:b/>
              </w:rPr>
            </w:pPr>
            <w:r w:rsidRPr="003E7E28">
              <w:rPr>
                <w:rFonts w:cs="Arial"/>
                <w:b/>
              </w:rPr>
              <w:t>Recommendation</w:t>
            </w:r>
          </w:p>
        </w:tc>
        <w:tc>
          <w:tcPr>
            <w:tcW w:w="992" w:type="dxa"/>
            <w:shd w:val="clear" w:color="auto" w:fill="auto"/>
            <w:vAlign w:val="center"/>
          </w:tcPr>
          <w:p w:rsidR="00422502" w:rsidRPr="003E7E28" w:rsidRDefault="00422502" w:rsidP="00422502">
            <w:pPr>
              <w:rPr>
                <w:rFonts w:cs="Arial"/>
                <w:b/>
              </w:rPr>
            </w:pPr>
            <w:r w:rsidRPr="003E7E28">
              <w:rPr>
                <w:rFonts w:cs="Arial"/>
                <w:b/>
              </w:rPr>
              <w:t>Agreed Y/N</w:t>
            </w:r>
          </w:p>
        </w:tc>
        <w:tc>
          <w:tcPr>
            <w:tcW w:w="5103" w:type="dxa"/>
            <w:shd w:val="clear" w:color="auto" w:fill="auto"/>
            <w:vAlign w:val="center"/>
          </w:tcPr>
          <w:p w:rsidR="00422502" w:rsidRPr="003E7E28" w:rsidRDefault="00422502" w:rsidP="00422502">
            <w:pPr>
              <w:rPr>
                <w:rFonts w:cs="Arial"/>
                <w:b/>
              </w:rPr>
            </w:pPr>
            <w:r w:rsidRPr="003E7E28">
              <w:rPr>
                <w:rFonts w:cs="Arial"/>
                <w:b/>
              </w:rPr>
              <w:t>Executive response</w:t>
            </w:r>
          </w:p>
        </w:tc>
        <w:tc>
          <w:tcPr>
            <w:tcW w:w="1559" w:type="dxa"/>
            <w:vAlign w:val="center"/>
          </w:tcPr>
          <w:p w:rsidR="00422502" w:rsidRPr="003E7E28" w:rsidRDefault="00422502" w:rsidP="00422502">
            <w:pPr>
              <w:rPr>
                <w:rFonts w:cs="Arial"/>
                <w:b/>
              </w:rPr>
            </w:pPr>
            <w:r w:rsidRPr="003E7E28">
              <w:rPr>
                <w:rFonts w:cs="Arial"/>
                <w:b/>
              </w:rPr>
              <w:t xml:space="preserve">Lead Member &amp; Officer </w:t>
            </w:r>
          </w:p>
        </w:tc>
        <w:tc>
          <w:tcPr>
            <w:tcW w:w="1560" w:type="dxa"/>
            <w:gridSpan w:val="2"/>
            <w:vAlign w:val="center"/>
          </w:tcPr>
          <w:p w:rsidR="00422502" w:rsidRPr="003E7E28" w:rsidRDefault="00422502" w:rsidP="00422502">
            <w:pPr>
              <w:rPr>
                <w:rFonts w:cs="Arial"/>
                <w:b/>
              </w:rPr>
            </w:pPr>
            <w:r w:rsidRPr="003E7E28">
              <w:rPr>
                <w:rFonts w:cs="Arial"/>
                <w:b/>
              </w:rPr>
              <w:t>Implemented Y/N / due date</w:t>
            </w:r>
          </w:p>
        </w:tc>
      </w:tr>
      <w:tr w:rsidR="00422502" w:rsidRPr="003E7E28" w:rsidTr="00422502">
        <w:tc>
          <w:tcPr>
            <w:tcW w:w="4678" w:type="dxa"/>
            <w:shd w:val="clear" w:color="auto" w:fill="auto"/>
          </w:tcPr>
          <w:p w:rsidR="00422502" w:rsidRPr="00FA6781" w:rsidRDefault="00422502" w:rsidP="00422502">
            <w:r w:rsidRPr="00FA6781">
              <w:t xml:space="preserve">1. That the City Council should continue to work with partners to co-ordinate and strengthen local arrangements for accommodating and supporting Syrian refugees, including educational support </w:t>
            </w:r>
            <w:r w:rsidRPr="00FA6781">
              <w:lastRenderedPageBreak/>
              <w:t>and language services.</w:t>
            </w:r>
          </w:p>
        </w:tc>
        <w:tc>
          <w:tcPr>
            <w:tcW w:w="992" w:type="dxa"/>
            <w:shd w:val="clear" w:color="auto" w:fill="auto"/>
          </w:tcPr>
          <w:p w:rsidR="00422502" w:rsidRPr="00422502" w:rsidRDefault="00422502" w:rsidP="00422502">
            <w:pPr>
              <w:rPr>
                <w:rFonts w:cs="Arial"/>
              </w:rPr>
            </w:pPr>
            <w:r>
              <w:rPr>
                <w:rFonts w:cs="Arial"/>
              </w:rPr>
              <w:lastRenderedPageBreak/>
              <w:t>Y</w:t>
            </w:r>
          </w:p>
        </w:tc>
        <w:tc>
          <w:tcPr>
            <w:tcW w:w="5103" w:type="dxa"/>
            <w:shd w:val="clear" w:color="auto" w:fill="auto"/>
          </w:tcPr>
          <w:p w:rsidR="00422502" w:rsidRPr="00AC577F" w:rsidRDefault="00422502" w:rsidP="00422502">
            <w:pPr>
              <w:rPr>
                <w:rFonts w:cs="Arial"/>
              </w:rPr>
            </w:pPr>
          </w:p>
        </w:tc>
        <w:tc>
          <w:tcPr>
            <w:tcW w:w="1559" w:type="dxa"/>
          </w:tcPr>
          <w:p w:rsidR="00422502" w:rsidRPr="003E7E28" w:rsidRDefault="00422502" w:rsidP="00422502">
            <w:pPr>
              <w:rPr>
                <w:rFonts w:cs="Arial"/>
              </w:rPr>
            </w:pPr>
            <w:r>
              <w:rPr>
                <w:rFonts w:cs="Arial"/>
              </w:rPr>
              <w:t>Cllr Price / Caroline Wood</w:t>
            </w:r>
          </w:p>
        </w:tc>
        <w:tc>
          <w:tcPr>
            <w:tcW w:w="1560" w:type="dxa"/>
            <w:gridSpan w:val="2"/>
          </w:tcPr>
          <w:p w:rsidR="00422502" w:rsidRPr="003E7E28" w:rsidRDefault="00422502" w:rsidP="00422502">
            <w:pPr>
              <w:rPr>
                <w:rFonts w:cs="Arial"/>
              </w:rPr>
            </w:pPr>
            <w:r>
              <w:rPr>
                <w:rFonts w:cs="Arial"/>
              </w:rPr>
              <w:t>June 2016</w:t>
            </w:r>
          </w:p>
        </w:tc>
      </w:tr>
      <w:tr w:rsidR="00422502" w:rsidRPr="003E7E28" w:rsidTr="00422502">
        <w:tc>
          <w:tcPr>
            <w:tcW w:w="4678" w:type="dxa"/>
            <w:shd w:val="clear" w:color="auto" w:fill="auto"/>
          </w:tcPr>
          <w:p w:rsidR="00422502" w:rsidRPr="00FA6781" w:rsidRDefault="00422502" w:rsidP="00422502">
            <w:r w:rsidRPr="00FA6781">
              <w:lastRenderedPageBreak/>
              <w:t>2. That the City Council should assist the County Council in promoting campaigns aimed at recruiting new foster carers and adopters.</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C577F" w:rsidRDefault="00F20E3E" w:rsidP="00422502">
            <w:pPr>
              <w:rPr>
                <w:rFonts w:cs="Arial"/>
              </w:rPr>
            </w:pPr>
            <w:r>
              <w:rPr>
                <w:rFonts w:cs="Arial"/>
              </w:rPr>
              <w:t>We will ask the County how we can help.</w:t>
            </w:r>
          </w:p>
        </w:tc>
        <w:tc>
          <w:tcPr>
            <w:tcW w:w="1559" w:type="dxa"/>
          </w:tcPr>
          <w:p w:rsidR="00422502" w:rsidRPr="003E7E28" w:rsidRDefault="00422502" w:rsidP="00422502">
            <w:pPr>
              <w:rPr>
                <w:rFonts w:cs="Arial"/>
              </w:rPr>
            </w:pPr>
            <w:r>
              <w:rPr>
                <w:rFonts w:cs="Arial"/>
              </w:rPr>
              <w:t>Cllr Price / Caroline Wood</w:t>
            </w:r>
          </w:p>
        </w:tc>
        <w:tc>
          <w:tcPr>
            <w:tcW w:w="1560" w:type="dxa"/>
            <w:gridSpan w:val="2"/>
          </w:tcPr>
          <w:p w:rsidR="00422502" w:rsidRPr="003E7E28" w:rsidRDefault="00422502" w:rsidP="00422502">
            <w:pPr>
              <w:rPr>
                <w:rFonts w:cs="Arial"/>
              </w:rPr>
            </w:pPr>
            <w:r>
              <w:rPr>
                <w:rFonts w:cs="Arial"/>
              </w:rPr>
              <w:t>June 2016</w:t>
            </w:r>
          </w:p>
        </w:tc>
      </w:tr>
      <w:tr w:rsidR="00422502" w:rsidRPr="003E7E28" w:rsidTr="00422502">
        <w:tc>
          <w:tcPr>
            <w:tcW w:w="4678" w:type="dxa"/>
            <w:shd w:val="clear" w:color="auto" w:fill="auto"/>
          </w:tcPr>
          <w:p w:rsidR="00422502" w:rsidRPr="00FA6781" w:rsidRDefault="00422502" w:rsidP="00422502">
            <w:r w:rsidRPr="00FA6781">
              <w:t>3. That the City Council should also maintain a focus on the types and impacts of support available to the refugees and asylum seekers in Oxford that are not part of the Vulnerable Persons Relocation Scheme (VPRS).</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C577F" w:rsidRDefault="00F20E3E" w:rsidP="00422502">
            <w:pPr>
              <w:rPr>
                <w:rFonts w:cs="Arial"/>
              </w:rPr>
            </w:pPr>
            <w:r>
              <w:rPr>
                <w:rFonts w:cs="Arial"/>
              </w:rPr>
              <w:t>A paper will come to CEB.</w:t>
            </w:r>
          </w:p>
        </w:tc>
        <w:tc>
          <w:tcPr>
            <w:tcW w:w="1559" w:type="dxa"/>
          </w:tcPr>
          <w:p w:rsidR="00422502" w:rsidRPr="003E7E28" w:rsidRDefault="00422502" w:rsidP="00422502">
            <w:pPr>
              <w:rPr>
                <w:rFonts w:cs="Arial"/>
              </w:rPr>
            </w:pPr>
            <w:r>
              <w:rPr>
                <w:rFonts w:cs="Arial"/>
              </w:rPr>
              <w:t>Cllr Price / Caroline Wood</w:t>
            </w:r>
          </w:p>
        </w:tc>
        <w:tc>
          <w:tcPr>
            <w:tcW w:w="1560" w:type="dxa"/>
            <w:gridSpan w:val="2"/>
          </w:tcPr>
          <w:p w:rsidR="00422502" w:rsidRPr="003E7E28" w:rsidRDefault="00422502" w:rsidP="00422502">
            <w:pPr>
              <w:rPr>
                <w:rFonts w:cs="Arial"/>
              </w:rPr>
            </w:pPr>
            <w:r>
              <w:rPr>
                <w:rFonts w:cs="Arial"/>
              </w:rPr>
              <w:t>June 2016</w:t>
            </w:r>
          </w:p>
        </w:tc>
      </w:tr>
      <w:tr w:rsidR="00422502" w:rsidRPr="003E7E28" w:rsidTr="00422502">
        <w:tc>
          <w:tcPr>
            <w:tcW w:w="4678" w:type="dxa"/>
            <w:shd w:val="clear" w:color="auto" w:fill="auto"/>
          </w:tcPr>
          <w:p w:rsidR="00422502" w:rsidRPr="00FA6781" w:rsidRDefault="00422502" w:rsidP="00422502">
            <w:r w:rsidRPr="00FA6781">
              <w:t>4. That the City Council should update local MPs on what the Council is doing to support refugees in Oxford, and engage with them about the challenges and needs that are more specific to Oxford.</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C577F" w:rsidRDefault="00422502" w:rsidP="00422502">
            <w:pPr>
              <w:rPr>
                <w:rFonts w:cs="Arial"/>
              </w:rPr>
            </w:pPr>
          </w:p>
        </w:tc>
        <w:tc>
          <w:tcPr>
            <w:tcW w:w="1559" w:type="dxa"/>
          </w:tcPr>
          <w:p w:rsidR="00422502" w:rsidRPr="003E7E28" w:rsidRDefault="00422502" w:rsidP="00422502">
            <w:pPr>
              <w:rPr>
                <w:rFonts w:cs="Arial"/>
              </w:rPr>
            </w:pPr>
            <w:r>
              <w:rPr>
                <w:rFonts w:cs="Arial"/>
              </w:rPr>
              <w:t>Cllr Price / Caroline Wood</w:t>
            </w:r>
          </w:p>
        </w:tc>
        <w:tc>
          <w:tcPr>
            <w:tcW w:w="1560" w:type="dxa"/>
            <w:gridSpan w:val="2"/>
          </w:tcPr>
          <w:p w:rsidR="00422502" w:rsidRPr="003E7E28" w:rsidRDefault="00422502" w:rsidP="00422502">
            <w:pPr>
              <w:rPr>
                <w:rFonts w:cs="Arial"/>
              </w:rPr>
            </w:pPr>
            <w:r>
              <w:rPr>
                <w:rFonts w:cs="Arial"/>
              </w:rPr>
              <w:t>June 2016</w:t>
            </w:r>
          </w:p>
        </w:tc>
      </w:tr>
      <w:tr w:rsidR="00422502" w:rsidRPr="003E7E28" w:rsidTr="00422502">
        <w:tc>
          <w:tcPr>
            <w:tcW w:w="4678" w:type="dxa"/>
            <w:shd w:val="clear" w:color="auto" w:fill="auto"/>
          </w:tcPr>
          <w:p w:rsidR="00422502" w:rsidRPr="00FA6781" w:rsidRDefault="00422502" w:rsidP="00422502">
            <w:r w:rsidRPr="00FA6781">
              <w:t>5. That the City Council should look for opportunities to engage constructively with government about the city’s needs and how these can be met.</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C577F" w:rsidRDefault="00422502" w:rsidP="00422502">
            <w:pPr>
              <w:rPr>
                <w:rFonts w:cs="Arial"/>
              </w:rPr>
            </w:pPr>
          </w:p>
        </w:tc>
        <w:tc>
          <w:tcPr>
            <w:tcW w:w="1559" w:type="dxa"/>
          </w:tcPr>
          <w:p w:rsidR="00422502" w:rsidRPr="003E7E28" w:rsidRDefault="00422502" w:rsidP="00422502">
            <w:pPr>
              <w:rPr>
                <w:rFonts w:cs="Arial"/>
              </w:rPr>
            </w:pPr>
            <w:r>
              <w:rPr>
                <w:rFonts w:cs="Arial"/>
              </w:rPr>
              <w:t>Cllr Price / Caroline Wood</w:t>
            </w:r>
          </w:p>
        </w:tc>
        <w:tc>
          <w:tcPr>
            <w:tcW w:w="1560" w:type="dxa"/>
            <w:gridSpan w:val="2"/>
          </w:tcPr>
          <w:p w:rsidR="00422502" w:rsidRPr="003E7E28" w:rsidRDefault="00422502" w:rsidP="00422502">
            <w:pPr>
              <w:rPr>
                <w:rFonts w:cs="Arial"/>
              </w:rPr>
            </w:pPr>
            <w:r>
              <w:rPr>
                <w:rFonts w:cs="Arial"/>
              </w:rPr>
              <w:t>June 2016</w:t>
            </w:r>
          </w:p>
        </w:tc>
      </w:tr>
      <w:tr w:rsidR="00422502" w:rsidRPr="003E7E28" w:rsidTr="00422502">
        <w:tc>
          <w:tcPr>
            <w:tcW w:w="4678" w:type="dxa"/>
            <w:shd w:val="clear" w:color="auto" w:fill="auto"/>
          </w:tcPr>
          <w:p w:rsidR="00422502" w:rsidRDefault="00422502" w:rsidP="00422502">
            <w:r w:rsidRPr="00FA6781">
              <w:t>6. That progress and developments should be monitored and periodic updates should be provided to City Councillors at public meetings.</w:t>
            </w:r>
          </w:p>
        </w:tc>
        <w:tc>
          <w:tcPr>
            <w:tcW w:w="992" w:type="dxa"/>
            <w:shd w:val="clear" w:color="auto" w:fill="auto"/>
          </w:tcPr>
          <w:p w:rsidR="00422502" w:rsidRPr="00422502" w:rsidRDefault="00422502" w:rsidP="00422502">
            <w:pPr>
              <w:rPr>
                <w:rFonts w:cs="Arial"/>
              </w:rPr>
            </w:pPr>
            <w:r>
              <w:rPr>
                <w:rFonts w:cs="Arial"/>
              </w:rPr>
              <w:t>Y</w:t>
            </w:r>
          </w:p>
        </w:tc>
        <w:tc>
          <w:tcPr>
            <w:tcW w:w="5103" w:type="dxa"/>
            <w:shd w:val="clear" w:color="auto" w:fill="auto"/>
          </w:tcPr>
          <w:p w:rsidR="00422502" w:rsidRPr="00AC577F" w:rsidRDefault="00422502" w:rsidP="00422502">
            <w:pPr>
              <w:rPr>
                <w:rFonts w:cs="Arial"/>
              </w:rPr>
            </w:pPr>
          </w:p>
        </w:tc>
        <w:tc>
          <w:tcPr>
            <w:tcW w:w="1559" w:type="dxa"/>
          </w:tcPr>
          <w:p w:rsidR="00422502" w:rsidRPr="003E7E28" w:rsidRDefault="00422502" w:rsidP="00422502">
            <w:pPr>
              <w:rPr>
                <w:rFonts w:cs="Arial"/>
              </w:rPr>
            </w:pPr>
            <w:r>
              <w:rPr>
                <w:rFonts w:cs="Arial"/>
              </w:rPr>
              <w:t>Cllr Price / Caroline Wood</w:t>
            </w:r>
          </w:p>
        </w:tc>
        <w:tc>
          <w:tcPr>
            <w:tcW w:w="1560" w:type="dxa"/>
            <w:gridSpan w:val="2"/>
          </w:tcPr>
          <w:p w:rsidR="00422502" w:rsidRPr="003E7E28" w:rsidRDefault="00422502" w:rsidP="00422502">
            <w:pPr>
              <w:rPr>
                <w:rFonts w:cs="Arial"/>
              </w:rPr>
            </w:pPr>
            <w:r>
              <w:rPr>
                <w:rFonts w:cs="Arial"/>
              </w:rPr>
              <w:t>June 2016</w:t>
            </w:r>
          </w:p>
        </w:tc>
      </w:tr>
      <w:tr w:rsidR="00422502" w:rsidRPr="00417C2D" w:rsidTr="00422502">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2502" w:rsidRPr="00417C2D" w:rsidRDefault="00422502" w:rsidP="00422502">
            <w:pPr>
              <w:rPr>
                <w:rFonts w:cs="Arial"/>
                <w:b/>
              </w:rPr>
            </w:pPr>
            <w:r w:rsidRPr="00422502">
              <w:rPr>
                <w:rFonts w:cs="Arial"/>
                <w:b/>
              </w:rPr>
              <w:t>Community Centre Strategy 2015-20</w:t>
            </w:r>
            <w:r>
              <w:rPr>
                <w:rFonts w:cs="Arial"/>
                <w:b/>
              </w:rPr>
              <w:t xml:space="preserve"> – 9 December Scrutiny Committee </w:t>
            </w:r>
          </w:p>
        </w:tc>
      </w:tr>
      <w:tr w:rsidR="00422502" w:rsidRPr="003E7E28" w:rsidTr="00422502">
        <w:tc>
          <w:tcPr>
            <w:tcW w:w="4678" w:type="dxa"/>
            <w:shd w:val="clear" w:color="auto" w:fill="auto"/>
            <w:vAlign w:val="center"/>
          </w:tcPr>
          <w:p w:rsidR="00422502" w:rsidRPr="003E7E28" w:rsidRDefault="00422502" w:rsidP="00422502">
            <w:pPr>
              <w:rPr>
                <w:rFonts w:cs="Arial"/>
                <w:b/>
              </w:rPr>
            </w:pPr>
            <w:r w:rsidRPr="003E7E28">
              <w:rPr>
                <w:rFonts w:cs="Arial"/>
                <w:b/>
              </w:rPr>
              <w:t>Recommendation</w:t>
            </w:r>
          </w:p>
        </w:tc>
        <w:tc>
          <w:tcPr>
            <w:tcW w:w="992" w:type="dxa"/>
            <w:shd w:val="clear" w:color="auto" w:fill="auto"/>
            <w:vAlign w:val="center"/>
          </w:tcPr>
          <w:p w:rsidR="00422502" w:rsidRPr="003E7E28" w:rsidRDefault="00422502" w:rsidP="00422502">
            <w:pPr>
              <w:rPr>
                <w:rFonts w:cs="Arial"/>
                <w:b/>
              </w:rPr>
            </w:pPr>
            <w:r w:rsidRPr="003E7E28">
              <w:rPr>
                <w:rFonts w:cs="Arial"/>
                <w:b/>
              </w:rPr>
              <w:t>Agreed Y/N</w:t>
            </w:r>
          </w:p>
        </w:tc>
        <w:tc>
          <w:tcPr>
            <w:tcW w:w="5103" w:type="dxa"/>
            <w:shd w:val="clear" w:color="auto" w:fill="auto"/>
            <w:vAlign w:val="center"/>
          </w:tcPr>
          <w:p w:rsidR="00422502" w:rsidRPr="003E7E28" w:rsidRDefault="00422502" w:rsidP="00422502">
            <w:pPr>
              <w:rPr>
                <w:rFonts w:cs="Arial"/>
                <w:b/>
              </w:rPr>
            </w:pPr>
            <w:r w:rsidRPr="003E7E28">
              <w:rPr>
                <w:rFonts w:cs="Arial"/>
                <w:b/>
              </w:rPr>
              <w:t>Executive response</w:t>
            </w:r>
          </w:p>
        </w:tc>
        <w:tc>
          <w:tcPr>
            <w:tcW w:w="1559" w:type="dxa"/>
            <w:vAlign w:val="center"/>
          </w:tcPr>
          <w:p w:rsidR="00422502" w:rsidRPr="003E7E28" w:rsidRDefault="00422502" w:rsidP="00422502">
            <w:pPr>
              <w:rPr>
                <w:rFonts w:cs="Arial"/>
                <w:b/>
              </w:rPr>
            </w:pPr>
            <w:r w:rsidRPr="003E7E28">
              <w:rPr>
                <w:rFonts w:cs="Arial"/>
                <w:b/>
              </w:rPr>
              <w:t xml:space="preserve">Lead Member &amp; Officer </w:t>
            </w:r>
          </w:p>
        </w:tc>
        <w:tc>
          <w:tcPr>
            <w:tcW w:w="1560" w:type="dxa"/>
            <w:gridSpan w:val="2"/>
            <w:vAlign w:val="center"/>
          </w:tcPr>
          <w:p w:rsidR="00422502" w:rsidRPr="003E7E28" w:rsidRDefault="00422502" w:rsidP="00422502">
            <w:pPr>
              <w:rPr>
                <w:rFonts w:cs="Arial"/>
                <w:b/>
              </w:rPr>
            </w:pPr>
            <w:r w:rsidRPr="003E7E28">
              <w:rPr>
                <w:rFonts w:cs="Arial"/>
                <w:b/>
              </w:rPr>
              <w:t>Implemented Y/N / due date</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t xml:space="preserve">1. </w:t>
            </w:r>
            <w:r w:rsidRPr="00AB1AFB">
              <w:rPr>
                <w:rFonts w:cs="Arial"/>
              </w:rPr>
              <w:t xml:space="preserve">That officers are asked to incorporate the clarifying amendments tabled by Councillor Wolff (see appendix 1) before the Strategy goes for wider consultation.  </w:t>
            </w:r>
          </w:p>
        </w:tc>
        <w:tc>
          <w:tcPr>
            <w:tcW w:w="992" w:type="dxa"/>
            <w:shd w:val="clear" w:color="auto" w:fill="auto"/>
          </w:tcPr>
          <w:p w:rsidR="00422502" w:rsidRPr="00422502" w:rsidRDefault="00422502" w:rsidP="00422502">
            <w:pPr>
              <w:rPr>
                <w:rFonts w:cs="Arial"/>
              </w:rPr>
            </w:pPr>
            <w:r w:rsidRPr="00422502">
              <w:rPr>
                <w:rFonts w:cs="Arial"/>
              </w:rPr>
              <w:t>In part</w:t>
            </w:r>
          </w:p>
        </w:tc>
        <w:tc>
          <w:tcPr>
            <w:tcW w:w="5103" w:type="dxa"/>
            <w:shd w:val="clear" w:color="auto" w:fill="auto"/>
          </w:tcPr>
          <w:p w:rsidR="00422502" w:rsidRPr="00AB1AFB" w:rsidRDefault="00422502" w:rsidP="00422502">
            <w:pPr>
              <w:rPr>
                <w:rFonts w:cs="Arial"/>
              </w:rPr>
            </w:pPr>
            <w:r w:rsidRPr="00AB1AFB">
              <w:rPr>
                <w:rFonts w:cs="Arial"/>
              </w:rPr>
              <w:t>We can add a sentence that says</w:t>
            </w:r>
          </w:p>
          <w:p w:rsidR="00422502" w:rsidRPr="00AC577F" w:rsidRDefault="00422502" w:rsidP="00422502">
            <w:pPr>
              <w:rPr>
                <w:rFonts w:cs="Arial"/>
              </w:rPr>
            </w:pPr>
            <w:r w:rsidRPr="00AB1AFB">
              <w:rPr>
                <w:rFonts w:cs="Arial"/>
              </w:rPr>
              <w:t>The Council will continue to undertake its maintenance responsibilities</w:t>
            </w:r>
          </w:p>
        </w:tc>
        <w:tc>
          <w:tcPr>
            <w:tcW w:w="1559" w:type="dxa"/>
          </w:tcPr>
          <w:p w:rsidR="00422502" w:rsidRPr="003E7E28" w:rsidRDefault="00422502"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c>
          <w:tcPr>
            <w:tcW w:w="1560" w:type="dxa"/>
            <w:gridSpan w:val="2"/>
          </w:tcPr>
          <w:p w:rsidR="00422502" w:rsidRPr="003E7E28" w:rsidRDefault="00422502" w:rsidP="00422502">
            <w:pPr>
              <w:rPr>
                <w:rFonts w:cs="Arial"/>
              </w:rPr>
            </w:pPr>
            <w:r>
              <w:rPr>
                <w:rFonts w:cs="Arial"/>
              </w:rPr>
              <w:t>Y</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t xml:space="preserve">2. </w:t>
            </w:r>
            <w:r w:rsidRPr="00AB1AFB">
              <w:rPr>
                <w:rFonts w:cs="Arial"/>
              </w:rPr>
              <w:t xml:space="preserve">That greater clarity should be provided that the 15 minute walk time used to </w:t>
            </w:r>
            <w:r w:rsidRPr="00AB1AFB">
              <w:rPr>
                <w:rFonts w:cs="Arial"/>
              </w:rPr>
              <w:lastRenderedPageBreak/>
              <w:t>model community centre catchment areas is not binding.</w:t>
            </w:r>
          </w:p>
        </w:tc>
        <w:tc>
          <w:tcPr>
            <w:tcW w:w="992" w:type="dxa"/>
            <w:shd w:val="clear" w:color="auto" w:fill="auto"/>
          </w:tcPr>
          <w:p w:rsidR="00422502" w:rsidRPr="00422502" w:rsidRDefault="00422502" w:rsidP="00422502">
            <w:pPr>
              <w:rPr>
                <w:rFonts w:cs="Arial"/>
              </w:rPr>
            </w:pPr>
            <w:r w:rsidRPr="00422502">
              <w:rPr>
                <w:rFonts w:cs="Arial"/>
              </w:rPr>
              <w:lastRenderedPageBreak/>
              <w:t>Y</w:t>
            </w:r>
          </w:p>
        </w:tc>
        <w:tc>
          <w:tcPr>
            <w:tcW w:w="5103" w:type="dxa"/>
            <w:shd w:val="clear" w:color="auto" w:fill="auto"/>
          </w:tcPr>
          <w:p w:rsidR="00422502" w:rsidRPr="00AB1AFB" w:rsidRDefault="00422502" w:rsidP="00422502">
            <w:pPr>
              <w:rPr>
                <w:rFonts w:cs="Arial"/>
              </w:rPr>
            </w:pPr>
            <w:r w:rsidRPr="00AB1AFB">
              <w:rPr>
                <w:rFonts w:cs="Arial"/>
              </w:rPr>
              <w:t xml:space="preserve">Section six of the strategy states - The catchment is based on a judgement of how </w:t>
            </w:r>
            <w:r w:rsidRPr="00AB1AFB">
              <w:rPr>
                <w:rFonts w:cs="Arial"/>
              </w:rPr>
              <w:lastRenderedPageBreak/>
              <w:t xml:space="preserve">far Oxford residents can reasonably be expected to travel to access community centre provision. This has been overlain with ward boundaries, and the 2015 Index of Multiple Deprivation (IMD) ratings of each lower super output area (LSOA). </w:t>
            </w:r>
          </w:p>
          <w:p w:rsidR="00422502" w:rsidRPr="00AB1AFB" w:rsidRDefault="00422502" w:rsidP="00422502">
            <w:pPr>
              <w:rPr>
                <w:rFonts w:cs="Arial"/>
              </w:rPr>
            </w:pPr>
          </w:p>
          <w:p w:rsidR="00422502" w:rsidRPr="00AC577F" w:rsidRDefault="00422502" w:rsidP="00422502">
            <w:pPr>
              <w:rPr>
                <w:rFonts w:cs="Arial"/>
              </w:rPr>
            </w:pPr>
            <w:r w:rsidRPr="00AB1AFB">
              <w:rPr>
                <w:rFonts w:cs="Arial"/>
              </w:rPr>
              <w:t>I don’t think this implies that this is in anyway binding. We could add in that “for various reasons such as the type of session many people will travel further to attend activities.”</w:t>
            </w:r>
          </w:p>
        </w:tc>
        <w:tc>
          <w:tcPr>
            <w:tcW w:w="1559" w:type="dxa"/>
          </w:tcPr>
          <w:p w:rsidR="00422502" w:rsidRPr="003E7E28" w:rsidRDefault="00422502" w:rsidP="00422502">
            <w:pPr>
              <w:rPr>
                <w:rFonts w:cs="Arial"/>
              </w:rPr>
            </w:pPr>
            <w:r>
              <w:rPr>
                <w:rFonts w:cs="Arial"/>
              </w:rPr>
              <w:lastRenderedPageBreak/>
              <w:t xml:space="preserve">Cllr </w:t>
            </w:r>
            <w:proofErr w:type="spellStart"/>
            <w:r>
              <w:rPr>
                <w:rFonts w:cs="Arial"/>
              </w:rPr>
              <w:t>Simm</w:t>
            </w:r>
            <w:proofErr w:type="spellEnd"/>
            <w:r>
              <w:rPr>
                <w:rFonts w:cs="Arial"/>
              </w:rPr>
              <w:t xml:space="preserve"> / Ian Brooke</w:t>
            </w:r>
          </w:p>
        </w:tc>
        <w:tc>
          <w:tcPr>
            <w:tcW w:w="1560" w:type="dxa"/>
            <w:gridSpan w:val="2"/>
          </w:tcPr>
          <w:p w:rsidR="00422502" w:rsidRPr="003E7E28" w:rsidRDefault="00422502" w:rsidP="00422502">
            <w:pPr>
              <w:rPr>
                <w:rFonts w:cs="Arial"/>
              </w:rPr>
            </w:pPr>
            <w:r>
              <w:rPr>
                <w:rFonts w:cs="Arial"/>
              </w:rPr>
              <w:t>Y</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lastRenderedPageBreak/>
              <w:t xml:space="preserve">3. </w:t>
            </w:r>
            <w:r w:rsidRPr="00AB1AFB">
              <w:rPr>
                <w:rFonts w:cs="Arial"/>
              </w:rPr>
              <w:t xml:space="preserve">That clarity should be provided as to how three specific gaps in community facilities have been identified from Figure 4 in the Strategy, given that this map also shows gaps in other areas of the city.  </w:t>
            </w:r>
          </w:p>
        </w:tc>
        <w:tc>
          <w:tcPr>
            <w:tcW w:w="992" w:type="dxa"/>
            <w:shd w:val="clear" w:color="auto" w:fill="auto"/>
          </w:tcPr>
          <w:p w:rsidR="00422502" w:rsidRPr="00422502" w:rsidRDefault="00422502" w:rsidP="00422502">
            <w:pPr>
              <w:rPr>
                <w:rFonts w:cs="Arial"/>
              </w:rPr>
            </w:pPr>
            <w:r w:rsidRPr="00422502">
              <w:rPr>
                <w:rFonts w:cs="Arial"/>
              </w:rPr>
              <w:t>Y</w:t>
            </w:r>
          </w:p>
        </w:tc>
        <w:tc>
          <w:tcPr>
            <w:tcW w:w="5103" w:type="dxa"/>
            <w:shd w:val="clear" w:color="auto" w:fill="auto"/>
          </w:tcPr>
          <w:p w:rsidR="00422502" w:rsidRPr="00AB1AFB" w:rsidRDefault="00422502" w:rsidP="00422502">
            <w:pPr>
              <w:rPr>
                <w:rFonts w:cs="Arial"/>
              </w:rPr>
            </w:pPr>
            <w:r w:rsidRPr="00AB1AFB">
              <w:rPr>
                <w:rFonts w:cs="Arial"/>
              </w:rPr>
              <w:t>Section six of the Strategy states –</w:t>
            </w:r>
            <w:proofErr w:type="gramStart"/>
            <w:r w:rsidRPr="00AB1AFB">
              <w:rPr>
                <w:rFonts w:cs="Arial"/>
              </w:rPr>
              <w:t>“ It</w:t>
            </w:r>
            <w:proofErr w:type="gramEnd"/>
            <w:r w:rsidRPr="00AB1AFB">
              <w:rPr>
                <w:rFonts w:cs="Arial"/>
              </w:rPr>
              <w:t xml:space="preserve"> also shows gaps in community facilities in parts of Blackbird Leys, Marston and Churchill. This does not mean that the Council should try to build new facilities as the City is very well provided for as a whole.”</w:t>
            </w:r>
          </w:p>
          <w:p w:rsidR="00422502" w:rsidRPr="00AB1AFB" w:rsidRDefault="00422502" w:rsidP="00422502">
            <w:pPr>
              <w:rPr>
                <w:rFonts w:cs="Arial"/>
              </w:rPr>
            </w:pPr>
          </w:p>
          <w:p w:rsidR="00422502" w:rsidRPr="00AC577F" w:rsidRDefault="00422502" w:rsidP="00422502">
            <w:pPr>
              <w:rPr>
                <w:rFonts w:cs="Arial"/>
              </w:rPr>
            </w:pPr>
            <w:r w:rsidRPr="00AB1AFB">
              <w:rPr>
                <w:rFonts w:cs="Arial"/>
              </w:rPr>
              <w:t>We can add in “these gaps are determined by a combination of walk time, facility distribution and population density.”</w:t>
            </w:r>
          </w:p>
        </w:tc>
        <w:tc>
          <w:tcPr>
            <w:tcW w:w="1559" w:type="dxa"/>
          </w:tcPr>
          <w:p w:rsidR="00422502" w:rsidRPr="003E7E28" w:rsidRDefault="00422502"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c>
          <w:tcPr>
            <w:tcW w:w="1560" w:type="dxa"/>
            <w:gridSpan w:val="2"/>
          </w:tcPr>
          <w:p w:rsidR="00422502" w:rsidRPr="003E7E28" w:rsidRDefault="00422502" w:rsidP="00422502">
            <w:pPr>
              <w:rPr>
                <w:rFonts w:cs="Arial"/>
              </w:rPr>
            </w:pPr>
            <w:r>
              <w:rPr>
                <w:rFonts w:cs="Arial"/>
              </w:rPr>
              <w:t>Y</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t xml:space="preserve">4. </w:t>
            </w:r>
            <w:r w:rsidRPr="00AB1AFB">
              <w:rPr>
                <w:rFonts w:cs="Arial"/>
              </w:rPr>
              <w:t>That a new priority theme should be added to the Strategy, in the Sustainable Management action area (p. 2), around making the best use and most effective use of facilities at community centres.</w:t>
            </w:r>
          </w:p>
        </w:tc>
        <w:tc>
          <w:tcPr>
            <w:tcW w:w="992" w:type="dxa"/>
            <w:shd w:val="clear" w:color="auto" w:fill="auto"/>
          </w:tcPr>
          <w:p w:rsidR="00422502" w:rsidRPr="00422502" w:rsidRDefault="00422502" w:rsidP="00422502">
            <w:pPr>
              <w:rPr>
                <w:rFonts w:cs="Arial"/>
              </w:rPr>
            </w:pPr>
            <w:r w:rsidRPr="00422502">
              <w:rPr>
                <w:rFonts w:cs="Arial"/>
              </w:rPr>
              <w:t>Y</w:t>
            </w:r>
          </w:p>
        </w:tc>
        <w:tc>
          <w:tcPr>
            <w:tcW w:w="5103" w:type="dxa"/>
            <w:shd w:val="clear" w:color="auto" w:fill="auto"/>
          </w:tcPr>
          <w:p w:rsidR="00422502" w:rsidRPr="00AC577F" w:rsidRDefault="00422502" w:rsidP="00422502">
            <w:pPr>
              <w:rPr>
                <w:rFonts w:cs="Arial"/>
              </w:rPr>
            </w:pPr>
            <w:r w:rsidRPr="00AB1AFB">
              <w:rPr>
                <w:rFonts w:cs="Arial"/>
              </w:rPr>
              <w:t xml:space="preserve">This fits under priority </w:t>
            </w:r>
            <w:proofErr w:type="gramStart"/>
            <w:r w:rsidRPr="00AB1AFB">
              <w:rPr>
                <w:rFonts w:cs="Arial"/>
              </w:rPr>
              <w:t>five Sustainable, effective management</w:t>
            </w:r>
            <w:proofErr w:type="gramEnd"/>
            <w:r w:rsidRPr="00AB1AFB">
              <w:rPr>
                <w:rFonts w:cs="Arial"/>
              </w:rPr>
              <w:t>. We will add an action to the action plan ensure a diverse programme of activities with quarterly reviews.</w:t>
            </w:r>
          </w:p>
        </w:tc>
        <w:tc>
          <w:tcPr>
            <w:tcW w:w="1559" w:type="dxa"/>
          </w:tcPr>
          <w:p w:rsidR="00422502" w:rsidRPr="003E7E28" w:rsidRDefault="00422502"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c>
          <w:tcPr>
            <w:tcW w:w="1560" w:type="dxa"/>
            <w:gridSpan w:val="2"/>
          </w:tcPr>
          <w:p w:rsidR="00422502" w:rsidRPr="003E7E28" w:rsidRDefault="00422502" w:rsidP="00422502">
            <w:pPr>
              <w:rPr>
                <w:rFonts w:cs="Arial"/>
              </w:rPr>
            </w:pPr>
            <w:r>
              <w:rPr>
                <w:rFonts w:cs="Arial"/>
              </w:rPr>
              <w:t>Y</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t xml:space="preserve">5. </w:t>
            </w:r>
            <w:r w:rsidRPr="00AB1AFB">
              <w:rPr>
                <w:rFonts w:cs="Arial"/>
              </w:rPr>
              <w:t>That the Strategy should articulate what the Council’s approach will be to ensuring there is an inclusive, a high quality community hub serving the Leys area in the event that the proposed replacement of Blackbird Leys Community Centre is compromised, for example by a lack of developer funding.</w:t>
            </w:r>
          </w:p>
        </w:tc>
        <w:tc>
          <w:tcPr>
            <w:tcW w:w="992" w:type="dxa"/>
            <w:shd w:val="clear" w:color="auto" w:fill="auto"/>
          </w:tcPr>
          <w:p w:rsidR="00422502" w:rsidRPr="00422502" w:rsidRDefault="00422502" w:rsidP="00422502">
            <w:pPr>
              <w:rPr>
                <w:rFonts w:cs="Arial"/>
              </w:rPr>
            </w:pPr>
            <w:r w:rsidRPr="00422502">
              <w:rPr>
                <w:rFonts w:cs="Arial"/>
              </w:rPr>
              <w:t>In part</w:t>
            </w:r>
          </w:p>
        </w:tc>
        <w:tc>
          <w:tcPr>
            <w:tcW w:w="5103" w:type="dxa"/>
            <w:shd w:val="clear" w:color="auto" w:fill="auto"/>
          </w:tcPr>
          <w:p w:rsidR="00422502" w:rsidRPr="00F37147" w:rsidRDefault="00422502" w:rsidP="00422502">
            <w:pPr>
              <w:rPr>
                <w:rFonts w:cs="Arial"/>
              </w:rPr>
            </w:pPr>
            <w:r w:rsidRPr="00F37147">
              <w:rPr>
                <w:rFonts w:cs="Arial"/>
              </w:rPr>
              <w:t>This is captured within priorities four and five:</w:t>
            </w:r>
          </w:p>
          <w:p w:rsidR="00422502" w:rsidRPr="00F37147" w:rsidRDefault="00422502" w:rsidP="00422502">
            <w:pPr>
              <w:rPr>
                <w:rFonts w:cs="Arial"/>
              </w:rPr>
            </w:pPr>
          </w:p>
          <w:p w:rsidR="00422502" w:rsidRPr="00F37147" w:rsidRDefault="00422502" w:rsidP="00422502">
            <w:pPr>
              <w:numPr>
                <w:ilvl w:val="0"/>
                <w:numId w:val="37"/>
              </w:numPr>
              <w:rPr>
                <w:rFonts w:cs="Arial"/>
              </w:rPr>
            </w:pPr>
            <w:r w:rsidRPr="00F37147">
              <w:rPr>
                <w:rFonts w:cs="Arial"/>
              </w:rPr>
              <w:t>Develop a prioritised maintenance plan for all centres with a five year time horizon.</w:t>
            </w:r>
          </w:p>
          <w:p w:rsidR="00422502" w:rsidRPr="00F37147" w:rsidRDefault="00422502" w:rsidP="00422502">
            <w:pPr>
              <w:numPr>
                <w:ilvl w:val="0"/>
                <w:numId w:val="37"/>
              </w:numPr>
              <w:rPr>
                <w:rFonts w:cs="Arial"/>
              </w:rPr>
            </w:pPr>
            <w:r w:rsidRPr="00F37147">
              <w:rPr>
                <w:rFonts w:cs="Arial"/>
              </w:rPr>
              <w:t xml:space="preserve">Review ways in which those centres that are currently managed by the City Council can be effectively managed in </w:t>
            </w:r>
            <w:r w:rsidRPr="00F37147">
              <w:rPr>
                <w:rFonts w:cs="Arial"/>
              </w:rPr>
              <w:lastRenderedPageBreak/>
              <w:t>future on a long term and stable basis with strong community involvement.</w:t>
            </w:r>
          </w:p>
        </w:tc>
        <w:tc>
          <w:tcPr>
            <w:tcW w:w="1559" w:type="dxa"/>
          </w:tcPr>
          <w:p w:rsidR="00422502" w:rsidRPr="003E7E28" w:rsidRDefault="00422502" w:rsidP="00422502">
            <w:pPr>
              <w:rPr>
                <w:rFonts w:cs="Arial"/>
              </w:rPr>
            </w:pPr>
            <w:r>
              <w:rPr>
                <w:rFonts w:cs="Arial"/>
              </w:rPr>
              <w:lastRenderedPageBreak/>
              <w:t xml:space="preserve">Cllr </w:t>
            </w:r>
            <w:proofErr w:type="spellStart"/>
            <w:r>
              <w:rPr>
                <w:rFonts w:cs="Arial"/>
              </w:rPr>
              <w:t>Simm</w:t>
            </w:r>
            <w:proofErr w:type="spellEnd"/>
            <w:r>
              <w:rPr>
                <w:rFonts w:cs="Arial"/>
              </w:rPr>
              <w:t xml:space="preserve"> / Ian Brooke</w:t>
            </w:r>
          </w:p>
        </w:tc>
        <w:tc>
          <w:tcPr>
            <w:tcW w:w="1560" w:type="dxa"/>
            <w:gridSpan w:val="2"/>
          </w:tcPr>
          <w:p w:rsidR="00422502" w:rsidRPr="003E7E28" w:rsidRDefault="00422502" w:rsidP="00422502">
            <w:pPr>
              <w:rPr>
                <w:rFonts w:cs="Arial"/>
              </w:rPr>
            </w:pPr>
            <w:r>
              <w:rPr>
                <w:rFonts w:cs="Arial"/>
              </w:rPr>
              <w:t>N/A</w:t>
            </w:r>
          </w:p>
        </w:tc>
      </w:tr>
      <w:tr w:rsidR="00422502" w:rsidRPr="003E7E28" w:rsidTr="00422502">
        <w:tc>
          <w:tcPr>
            <w:tcW w:w="4678" w:type="dxa"/>
            <w:shd w:val="clear" w:color="auto" w:fill="auto"/>
          </w:tcPr>
          <w:p w:rsidR="00422502" w:rsidRPr="00AC577F" w:rsidRDefault="00422502" w:rsidP="00422502">
            <w:pPr>
              <w:rPr>
                <w:rFonts w:cs="Arial"/>
              </w:rPr>
            </w:pPr>
            <w:r>
              <w:rPr>
                <w:rFonts w:cs="Arial"/>
              </w:rPr>
              <w:lastRenderedPageBreak/>
              <w:t xml:space="preserve">6. </w:t>
            </w:r>
            <w:r w:rsidRPr="00AB1AFB">
              <w:rPr>
                <w:rFonts w:cs="Arial"/>
              </w:rPr>
              <w:t>That the Strategy should better recognise and articulate the importance of volunteers to the city’s community centres.</w:t>
            </w:r>
          </w:p>
        </w:tc>
        <w:tc>
          <w:tcPr>
            <w:tcW w:w="992" w:type="dxa"/>
            <w:shd w:val="clear" w:color="auto" w:fill="auto"/>
          </w:tcPr>
          <w:p w:rsidR="00422502" w:rsidRPr="00422502" w:rsidRDefault="00422502" w:rsidP="00422502">
            <w:pPr>
              <w:rPr>
                <w:rFonts w:cs="Arial"/>
              </w:rPr>
            </w:pPr>
            <w:r w:rsidRPr="00422502">
              <w:rPr>
                <w:rFonts w:cs="Arial"/>
              </w:rPr>
              <w:t>N</w:t>
            </w:r>
          </w:p>
        </w:tc>
        <w:tc>
          <w:tcPr>
            <w:tcW w:w="5103" w:type="dxa"/>
            <w:shd w:val="clear" w:color="auto" w:fill="auto"/>
          </w:tcPr>
          <w:p w:rsidR="00422502" w:rsidRPr="00AB1AFB" w:rsidRDefault="00422502" w:rsidP="00422502">
            <w:pPr>
              <w:rPr>
                <w:rFonts w:cs="Arial"/>
              </w:rPr>
            </w:pPr>
            <w:r w:rsidRPr="00AB1AFB">
              <w:rPr>
                <w:rFonts w:cs="Arial"/>
              </w:rPr>
              <w:t>The Strategy states “….these Associations are essential…and their work is greatly valued by the Council.”</w:t>
            </w:r>
          </w:p>
          <w:p w:rsidR="00422502" w:rsidRPr="00AB1AFB" w:rsidRDefault="00422502" w:rsidP="00422502">
            <w:pPr>
              <w:rPr>
                <w:rFonts w:cs="Arial"/>
              </w:rPr>
            </w:pPr>
          </w:p>
          <w:p w:rsidR="00422502" w:rsidRPr="00AB1AFB" w:rsidRDefault="00422502" w:rsidP="00422502">
            <w:pPr>
              <w:rPr>
                <w:rFonts w:cs="Arial"/>
              </w:rPr>
            </w:pPr>
            <w:r w:rsidRPr="00AB1AFB">
              <w:rPr>
                <w:rFonts w:cs="Arial"/>
              </w:rPr>
              <w:t>Following the work in the steering group two of the eight priorities are focused on trustees and volunteers.</w:t>
            </w:r>
          </w:p>
          <w:p w:rsidR="00422502" w:rsidRPr="00AB1AFB" w:rsidRDefault="00422502" w:rsidP="00422502">
            <w:pPr>
              <w:rPr>
                <w:rFonts w:cs="Arial"/>
              </w:rPr>
            </w:pPr>
          </w:p>
          <w:p w:rsidR="00422502" w:rsidRPr="00AB1AFB" w:rsidRDefault="00422502" w:rsidP="00422502">
            <w:pPr>
              <w:rPr>
                <w:rFonts w:cs="Arial"/>
              </w:rPr>
            </w:pPr>
            <w:r>
              <w:rPr>
                <w:rFonts w:cs="Arial"/>
              </w:rPr>
              <w:t xml:space="preserve">• </w:t>
            </w:r>
            <w:r w:rsidRPr="00AB1AFB">
              <w:rPr>
                <w:rFonts w:cs="Arial"/>
              </w:rPr>
              <w:t>Support Associations in developing management skills and expertise and in recruiting volunteers to run the centres’ activities.</w:t>
            </w:r>
          </w:p>
          <w:p w:rsidR="00422502" w:rsidRPr="00AC577F" w:rsidRDefault="00422502" w:rsidP="00422502">
            <w:pPr>
              <w:rPr>
                <w:rFonts w:cs="Arial"/>
              </w:rPr>
            </w:pPr>
            <w:r>
              <w:rPr>
                <w:rFonts w:cs="Arial"/>
              </w:rPr>
              <w:t xml:space="preserve">• </w:t>
            </w:r>
            <w:r w:rsidRPr="00AB1AFB">
              <w:rPr>
                <w:rFonts w:cs="Arial"/>
              </w:rPr>
              <w:t>Support Associations to recruit and retain trustees</w:t>
            </w:r>
            <w:r>
              <w:rPr>
                <w:rFonts w:cs="Arial"/>
              </w:rPr>
              <w:t xml:space="preserve"> and manage their buildings</w:t>
            </w:r>
          </w:p>
        </w:tc>
        <w:tc>
          <w:tcPr>
            <w:tcW w:w="1559" w:type="dxa"/>
          </w:tcPr>
          <w:p w:rsidR="00422502" w:rsidRPr="003E7E28" w:rsidRDefault="00422502"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c>
          <w:tcPr>
            <w:tcW w:w="1560" w:type="dxa"/>
            <w:gridSpan w:val="2"/>
          </w:tcPr>
          <w:p w:rsidR="00422502" w:rsidRPr="003E7E28" w:rsidRDefault="00422502" w:rsidP="00422502">
            <w:pPr>
              <w:rPr>
                <w:rFonts w:cs="Arial"/>
              </w:rPr>
            </w:pPr>
            <w:r>
              <w:rPr>
                <w:rFonts w:cs="Arial"/>
              </w:rPr>
              <w:t>N/A</w:t>
            </w:r>
          </w:p>
        </w:tc>
      </w:tr>
      <w:tr w:rsidR="00422502" w:rsidRPr="003E7E28" w:rsidTr="00422502">
        <w:tc>
          <w:tcPr>
            <w:tcW w:w="4678" w:type="dxa"/>
            <w:shd w:val="clear" w:color="auto" w:fill="auto"/>
          </w:tcPr>
          <w:p w:rsidR="00422502" w:rsidRPr="00AB1AFB" w:rsidRDefault="00422502" w:rsidP="00422502">
            <w:pPr>
              <w:rPr>
                <w:rFonts w:cs="Arial"/>
              </w:rPr>
            </w:pPr>
            <w:r>
              <w:rPr>
                <w:rFonts w:cs="Arial"/>
              </w:rPr>
              <w:t xml:space="preserve">7. </w:t>
            </w:r>
            <w:r w:rsidRPr="00AB1AFB">
              <w:rPr>
                <w:rFonts w:cs="Arial"/>
              </w:rPr>
              <w:t>That the scope of the consultation set out in the report should be widened to include:</w:t>
            </w:r>
          </w:p>
          <w:p w:rsidR="00422502" w:rsidRPr="00AB1AFB" w:rsidRDefault="00422502" w:rsidP="00422502">
            <w:pPr>
              <w:rPr>
                <w:rFonts w:cs="Arial"/>
              </w:rPr>
            </w:pPr>
            <w:r>
              <w:rPr>
                <w:rFonts w:cs="Arial"/>
              </w:rPr>
              <w:t xml:space="preserve">a) </w:t>
            </w:r>
            <w:r w:rsidRPr="00AB1AFB">
              <w:rPr>
                <w:rFonts w:cs="Arial"/>
              </w:rPr>
              <w:t xml:space="preserve">Residents associations and tenants groups as key stakeholders, </w:t>
            </w:r>
          </w:p>
          <w:p w:rsidR="00422502" w:rsidRPr="00AB1AFB" w:rsidRDefault="00422502" w:rsidP="00422502">
            <w:pPr>
              <w:rPr>
                <w:rFonts w:cs="Arial"/>
              </w:rPr>
            </w:pPr>
            <w:r>
              <w:rPr>
                <w:rFonts w:cs="Arial"/>
              </w:rPr>
              <w:t xml:space="preserve">b) </w:t>
            </w:r>
            <w:r w:rsidRPr="00AB1AFB">
              <w:rPr>
                <w:rFonts w:cs="Arial"/>
              </w:rPr>
              <w:t xml:space="preserve">That other stakeholder focus groups are considered including, as a priority, a disability focus group, </w:t>
            </w:r>
          </w:p>
          <w:p w:rsidR="00422502" w:rsidRPr="00AB1AFB" w:rsidRDefault="00422502" w:rsidP="00422502">
            <w:pPr>
              <w:rPr>
                <w:rFonts w:cs="Arial"/>
              </w:rPr>
            </w:pPr>
            <w:r>
              <w:rPr>
                <w:rFonts w:cs="Arial"/>
              </w:rPr>
              <w:t xml:space="preserve">c) </w:t>
            </w:r>
            <w:r w:rsidRPr="00AB1AFB">
              <w:rPr>
                <w:rFonts w:cs="Arial"/>
              </w:rPr>
              <w:t xml:space="preserve">Engagement with representatives of all the remaining strands recognised under the Equalities Act, </w:t>
            </w:r>
          </w:p>
          <w:p w:rsidR="00422502" w:rsidRPr="00AC577F" w:rsidRDefault="00422502" w:rsidP="00422502">
            <w:pPr>
              <w:rPr>
                <w:rFonts w:cs="Arial"/>
              </w:rPr>
            </w:pPr>
            <w:r>
              <w:rPr>
                <w:rFonts w:cs="Arial"/>
              </w:rPr>
              <w:t xml:space="preserve">d) </w:t>
            </w:r>
            <w:r w:rsidRPr="00AB1AFB">
              <w:rPr>
                <w:rFonts w:cs="Arial"/>
              </w:rPr>
              <w:t>Continued outreach to potential users and individuals.</w:t>
            </w:r>
          </w:p>
        </w:tc>
        <w:tc>
          <w:tcPr>
            <w:tcW w:w="992" w:type="dxa"/>
            <w:shd w:val="clear" w:color="auto" w:fill="auto"/>
          </w:tcPr>
          <w:p w:rsidR="00422502" w:rsidRPr="00422502" w:rsidRDefault="00422502" w:rsidP="00422502">
            <w:pPr>
              <w:rPr>
                <w:rFonts w:cs="Arial"/>
                <w:color w:val="808080" w:themeColor="background1" w:themeShade="80"/>
              </w:rPr>
            </w:pPr>
            <w:r w:rsidRPr="00422502">
              <w:rPr>
                <w:rFonts w:cs="Arial"/>
              </w:rPr>
              <w:t>In part</w:t>
            </w:r>
          </w:p>
        </w:tc>
        <w:tc>
          <w:tcPr>
            <w:tcW w:w="5103" w:type="dxa"/>
            <w:shd w:val="clear" w:color="auto" w:fill="auto"/>
          </w:tcPr>
          <w:p w:rsidR="00422502" w:rsidRPr="00AB1AFB" w:rsidRDefault="00422502" w:rsidP="00422502">
            <w:pPr>
              <w:rPr>
                <w:rFonts w:cs="Arial"/>
              </w:rPr>
            </w:pPr>
            <w:r w:rsidRPr="00AB1AFB">
              <w:rPr>
                <w:rFonts w:cs="Arial"/>
              </w:rPr>
              <w:t>The list of consultees in the report includes “Any interested parties”</w:t>
            </w:r>
          </w:p>
          <w:p w:rsidR="00422502" w:rsidRPr="00AB1AFB" w:rsidRDefault="00422502" w:rsidP="00422502">
            <w:pPr>
              <w:rPr>
                <w:rFonts w:cs="Arial"/>
              </w:rPr>
            </w:pPr>
          </w:p>
          <w:p w:rsidR="00422502" w:rsidRPr="00AB1AFB" w:rsidRDefault="00422502" w:rsidP="00422502">
            <w:pPr>
              <w:rPr>
                <w:rFonts w:cs="Arial"/>
              </w:rPr>
            </w:pPr>
            <w:r w:rsidRPr="00AB1AFB">
              <w:rPr>
                <w:rFonts w:cs="Arial"/>
              </w:rPr>
              <w:t>In relation to targeting groups we always think through how their needs differ which is why we are proposing the following focus groups:</w:t>
            </w:r>
          </w:p>
          <w:p w:rsidR="00422502" w:rsidRPr="00AB1AFB" w:rsidRDefault="00422502" w:rsidP="00422502">
            <w:pPr>
              <w:rPr>
                <w:rFonts w:cs="Arial"/>
              </w:rPr>
            </w:pPr>
            <w:r w:rsidRPr="00AB1AFB">
              <w:rPr>
                <w:rFonts w:cs="Arial"/>
              </w:rPr>
              <w:t>•</w:t>
            </w:r>
            <w:r w:rsidRPr="00AB1AFB">
              <w:rPr>
                <w:rFonts w:cs="Arial"/>
              </w:rPr>
              <w:tab/>
              <w:t>Older people ( over 60s)</w:t>
            </w:r>
          </w:p>
          <w:p w:rsidR="00422502" w:rsidRPr="00AB1AFB" w:rsidRDefault="00422502" w:rsidP="00422502">
            <w:pPr>
              <w:rPr>
                <w:rFonts w:cs="Arial"/>
              </w:rPr>
            </w:pPr>
            <w:r w:rsidRPr="00AB1AFB">
              <w:rPr>
                <w:rFonts w:cs="Arial"/>
              </w:rPr>
              <w:t>•</w:t>
            </w:r>
            <w:r w:rsidRPr="00AB1AFB">
              <w:rPr>
                <w:rFonts w:cs="Arial"/>
              </w:rPr>
              <w:tab/>
              <w:t>Health bodies</w:t>
            </w:r>
          </w:p>
          <w:p w:rsidR="00422502" w:rsidRPr="00AB1AFB" w:rsidRDefault="00422502" w:rsidP="00422502">
            <w:pPr>
              <w:rPr>
                <w:rFonts w:cs="Arial"/>
              </w:rPr>
            </w:pPr>
            <w:r w:rsidRPr="00AB1AFB">
              <w:rPr>
                <w:rFonts w:cs="Arial"/>
              </w:rPr>
              <w:t>•</w:t>
            </w:r>
            <w:r w:rsidRPr="00AB1AFB">
              <w:rPr>
                <w:rFonts w:cs="Arial"/>
              </w:rPr>
              <w:tab/>
              <w:t>Schools and parents</w:t>
            </w:r>
          </w:p>
          <w:p w:rsidR="00422502" w:rsidRPr="00AB1AFB" w:rsidRDefault="00422502" w:rsidP="00422502">
            <w:pPr>
              <w:rPr>
                <w:rFonts w:cs="Arial"/>
              </w:rPr>
            </w:pPr>
            <w:r w:rsidRPr="00AB1AFB">
              <w:rPr>
                <w:rFonts w:cs="Arial"/>
              </w:rPr>
              <w:t>•</w:t>
            </w:r>
            <w:r w:rsidRPr="00AB1AFB">
              <w:rPr>
                <w:rFonts w:cs="Arial"/>
              </w:rPr>
              <w:tab/>
              <w:t>Young people</w:t>
            </w:r>
          </w:p>
          <w:p w:rsidR="00422502" w:rsidRPr="00AB1AFB" w:rsidRDefault="00422502" w:rsidP="00422502">
            <w:pPr>
              <w:rPr>
                <w:rFonts w:cs="Arial"/>
              </w:rPr>
            </w:pPr>
            <w:r w:rsidRPr="00AB1AFB">
              <w:rPr>
                <w:rFonts w:cs="Arial"/>
              </w:rPr>
              <w:t>•</w:t>
            </w:r>
            <w:r w:rsidRPr="00AB1AFB">
              <w:rPr>
                <w:rFonts w:cs="Arial"/>
              </w:rPr>
              <w:tab/>
              <w:t xml:space="preserve">Minority community representatives </w:t>
            </w:r>
          </w:p>
          <w:p w:rsidR="00422502" w:rsidRPr="00AB1AFB" w:rsidRDefault="00422502" w:rsidP="00422502">
            <w:pPr>
              <w:rPr>
                <w:rFonts w:cs="Arial"/>
              </w:rPr>
            </w:pPr>
          </w:p>
          <w:p w:rsidR="00422502" w:rsidRPr="00AC577F" w:rsidRDefault="00422502" w:rsidP="00422502">
            <w:pPr>
              <w:rPr>
                <w:rFonts w:cs="Arial"/>
              </w:rPr>
            </w:pPr>
            <w:r w:rsidRPr="00AB1AFB">
              <w:rPr>
                <w:rFonts w:cs="Arial"/>
              </w:rPr>
              <w:t>We will also add in a disability focus group.</w:t>
            </w:r>
          </w:p>
        </w:tc>
        <w:tc>
          <w:tcPr>
            <w:tcW w:w="1559" w:type="dxa"/>
          </w:tcPr>
          <w:p w:rsidR="00422502" w:rsidRPr="003E7E28" w:rsidRDefault="00422502"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c>
          <w:tcPr>
            <w:tcW w:w="1560" w:type="dxa"/>
            <w:gridSpan w:val="2"/>
          </w:tcPr>
          <w:p w:rsidR="00422502" w:rsidRPr="003E7E28" w:rsidRDefault="00422502" w:rsidP="00422502">
            <w:pPr>
              <w:rPr>
                <w:rFonts w:cs="Arial"/>
              </w:rPr>
            </w:pPr>
            <w:r>
              <w:rPr>
                <w:rFonts w:cs="Arial"/>
              </w:rPr>
              <w:t>Y</w:t>
            </w:r>
          </w:p>
        </w:tc>
      </w:tr>
      <w:tr w:rsidR="00EF37F3" w:rsidRPr="00417C2D" w:rsidTr="00EF37F3">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37F3" w:rsidRPr="00417C2D" w:rsidRDefault="00D3561F" w:rsidP="00AD0216">
            <w:pPr>
              <w:rPr>
                <w:rFonts w:cs="Arial"/>
                <w:b/>
              </w:rPr>
            </w:pPr>
            <w:r>
              <w:rPr>
                <w:rFonts w:cs="Arial"/>
                <w:b/>
              </w:rPr>
              <w:t>Planning Annual Monitoring Report – 2 November Scrutiny Committee</w:t>
            </w:r>
          </w:p>
        </w:tc>
      </w:tr>
      <w:tr w:rsidR="00EF37F3" w:rsidRPr="003E7E28" w:rsidTr="00634CB5">
        <w:tc>
          <w:tcPr>
            <w:tcW w:w="4678" w:type="dxa"/>
            <w:shd w:val="clear" w:color="auto" w:fill="auto"/>
            <w:vAlign w:val="center"/>
          </w:tcPr>
          <w:p w:rsidR="00EF37F3" w:rsidRPr="003E7E28" w:rsidRDefault="00EF37F3" w:rsidP="00AD0216">
            <w:pPr>
              <w:rPr>
                <w:rFonts w:cs="Arial"/>
                <w:b/>
              </w:rPr>
            </w:pPr>
            <w:r w:rsidRPr="003E7E28">
              <w:rPr>
                <w:rFonts w:cs="Arial"/>
                <w:b/>
              </w:rPr>
              <w:t>Recommendation</w:t>
            </w:r>
          </w:p>
        </w:tc>
        <w:tc>
          <w:tcPr>
            <w:tcW w:w="992" w:type="dxa"/>
            <w:shd w:val="clear" w:color="auto" w:fill="auto"/>
            <w:vAlign w:val="center"/>
          </w:tcPr>
          <w:p w:rsidR="00EF37F3" w:rsidRPr="003E7E28" w:rsidRDefault="00EF37F3" w:rsidP="00AD0216">
            <w:pPr>
              <w:rPr>
                <w:rFonts w:cs="Arial"/>
                <w:b/>
              </w:rPr>
            </w:pPr>
            <w:r w:rsidRPr="003E7E28">
              <w:rPr>
                <w:rFonts w:cs="Arial"/>
                <w:b/>
              </w:rPr>
              <w:t>Agreed Y/N</w:t>
            </w:r>
          </w:p>
        </w:tc>
        <w:tc>
          <w:tcPr>
            <w:tcW w:w="5103" w:type="dxa"/>
            <w:shd w:val="clear" w:color="auto" w:fill="auto"/>
            <w:vAlign w:val="center"/>
          </w:tcPr>
          <w:p w:rsidR="00EF37F3" w:rsidRPr="003E7E28" w:rsidRDefault="00EF37F3" w:rsidP="00AD0216">
            <w:pPr>
              <w:rPr>
                <w:rFonts w:cs="Arial"/>
                <w:b/>
              </w:rPr>
            </w:pPr>
            <w:r w:rsidRPr="003E7E28">
              <w:rPr>
                <w:rFonts w:cs="Arial"/>
                <w:b/>
              </w:rPr>
              <w:t>Executive response</w:t>
            </w:r>
          </w:p>
        </w:tc>
        <w:tc>
          <w:tcPr>
            <w:tcW w:w="1701" w:type="dxa"/>
            <w:gridSpan w:val="2"/>
            <w:vAlign w:val="center"/>
          </w:tcPr>
          <w:p w:rsidR="00EF37F3" w:rsidRPr="003E7E28" w:rsidRDefault="00EF37F3" w:rsidP="00AD0216">
            <w:pPr>
              <w:rPr>
                <w:rFonts w:cs="Arial"/>
                <w:b/>
              </w:rPr>
            </w:pPr>
            <w:r w:rsidRPr="003E7E28">
              <w:rPr>
                <w:rFonts w:cs="Arial"/>
                <w:b/>
              </w:rPr>
              <w:t xml:space="preserve">Lead Member &amp; Officer </w:t>
            </w:r>
          </w:p>
        </w:tc>
        <w:tc>
          <w:tcPr>
            <w:tcW w:w="1418" w:type="dxa"/>
            <w:vAlign w:val="center"/>
          </w:tcPr>
          <w:p w:rsidR="00EF37F3" w:rsidRPr="003E7E28" w:rsidRDefault="00EF37F3" w:rsidP="00AD0216">
            <w:pPr>
              <w:rPr>
                <w:rFonts w:cs="Arial"/>
                <w:b/>
              </w:rPr>
            </w:pPr>
            <w:r w:rsidRPr="003E7E28">
              <w:rPr>
                <w:rFonts w:cs="Arial"/>
                <w:b/>
              </w:rPr>
              <w:t>Implemented Y/N / due date</w:t>
            </w:r>
          </w:p>
        </w:tc>
      </w:tr>
      <w:tr w:rsidR="00EF37F3" w:rsidRPr="003E7E28" w:rsidTr="00634CB5">
        <w:tc>
          <w:tcPr>
            <w:tcW w:w="4678" w:type="dxa"/>
            <w:shd w:val="clear" w:color="auto" w:fill="auto"/>
          </w:tcPr>
          <w:p w:rsidR="00EF37F3" w:rsidRPr="00EF37F3" w:rsidRDefault="00EF37F3" w:rsidP="00EF37F3">
            <w:pPr>
              <w:ind w:left="34"/>
              <w:rPr>
                <w:rFonts w:cs="Arial"/>
              </w:rPr>
            </w:pPr>
            <w:r>
              <w:rPr>
                <w:rFonts w:cs="Arial"/>
              </w:rPr>
              <w:t xml:space="preserve">1. </w:t>
            </w:r>
            <w:r w:rsidRPr="00EF37F3">
              <w:rPr>
                <w:rFonts w:cs="Arial"/>
              </w:rPr>
              <w:t xml:space="preserve">That the Council includes the following </w:t>
            </w:r>
            <w:r w:rsidRPr="00EF37F3">
              <w:rPr>
                <w:rFonts w:cs="Arial"/>
              </w:rPr>
              <w:lastRenderedPageBreak/>
              <w:t>two new indicators when considering the effectiveness of planning policies contained within the Oxford Local Development Plan</w:t>
            </w:r>
          </w:p>
          <w:p w:rsidR="00EF37F3" w:rsidRPr="00EF37F3" w:rsidRDefault="00EF37F3" w:rsidP="00EF37F3">
            <w:pPr>
              <w:ind w:left="34"/>
              <w:rPr>
                <w:rFonts w:cs="Arial"/>
              </w:rPr>
            </w:pPr>
          </w:p>
          <w:p w:rsidR="00EF37F3" w:rsidRPr="00EF37F3" w:rsidRDefault="00EF37F3" w:rsidP="00EF37F3">
            <w:pPr>
              <w:ind w:left="34"/>
              <w:rPr>
                <w:rFonts w:cs="Arial"/>
              </w:rPr>
            </w:pPr>
            <w:r w:rsidRPr="00EF37F3">
              <w:rPr>
                <w:rFonts w:cs="Arial"/>
              </w:rPr>
              <w:t>a) Number of units of affordable housing to rent built on Council owned land</w:t>
            </w:r>
          </w:p>
          <w:p w:rsidR="00EF37F3" w:rsidRPr="00EF37F3" w:rsidRDefault="00EF37F3" w:rsidP="00EF37F3">
            <w:pPr>
              <w:ind w:left="34"/>
              <w:rPr>
                <w:rFonts w:cs="Arial"/>
              </w:rPr>
            </w:pPr>
          </w:p>
          <w:p w:rsidR="00EF37F3" w:rsidRPr="00D50FD4" w:rsidRDefault="00EF37F3" w:rsidP="00EF37F3">
            <w:pPr>
              <w:ind w:left="34"/>
              <w:rPr>
                <w:rFonts w:cs="Arial"/>
              </w:rPr>
            </w:pPr>
            <w:r w:rsidRPr="00EF37F3">
              <w:rPr>
                <w:rFonts w:cs="Arial"/>
              </w:rPr>
              <w:t>b) The amount of land freed up for affordable housing development through change of use</w:t>
            </w:r>
          </w:p>
        </w:tc>
        <w:tc>
          <w:tcPr>
            <w:tcW w:w="992" w:type="dxa"/>
            <w:shd w:val="clear" w:color="auto" w:fill="auto"/>
          </w:tcPr>
          <w:p w:rsidR="00EF37F3" w:rsidRPr="00D50FD4" w:rsidRDefault="00EF37F3" w:rsidP="00AD0216">
            <w:pPr>
              <w:rPr>
                <w:rFonts w:cs="Arial"/>
              </w:rPr>
            </w:pPr>
            <w:r>
              <w:rPr>
                <w:rFonts w:cs="Arial"/>
              </w:rPr>
              <w:lastRenderedPageBreak/>
              <w:t>Y</w:t>
            </w:r>
          </w:p>
        </w:tc>
        <w:tc>
          <w:tcPr>
            <w:tcW w:w="5103" w:type="dxa"/>
            <w:shd w:val="clear" w:color="auto" w:fill="auto"/>
          </w:tcPr>
          <w:p w:rsidR="00EF37F3" w:rsidRPr="00D50FD4" w:rsidRDefault="00585DF7" w:rsidP="00634CB5">
            <w:pPr>
              <w:rPr>
                <w:rFonts w:cs="Arial"/>
              </w:rPr>
            </w:pPr>
            <w:r w:rsidRPr="00585DF7">
              <w:rPr>
                <w:rFonts w:cs="Arial"/>
              </w:rPr>
              <w:t>Both recommendations are accepted</w:t>
            </w:r>
            <w:r>
              <w:rPr>
                <w:rFonts w:cs="Arial"/>
              </w:rPr>
              <w:t xml:space="preserve"> on the </w:t>
            </w:r>
            <w:r>
              <w:rPr>
                <w:rFonts w:cs="Arial"/>
              </w:rPr>
              <w:lastRenderedPageBreak/>
              <w:t>understanding that point ‘a’ refers to affordable homes,</w:t>
            </w:r>
            <w:r>
              <w:t xml:space="preserve"> which </w:t>
            </w:r>
            <w:r w:rsidRPr="00585DF7">
              <w:rPr>
                <w:rFonts w:cs="Arial"/>
              </w:rPr>
              <w:t>could include social rent and intermediate housing in line with the adopted policy. While it is important to have consistency in the indicators measured over time, it is clear that some current indicators are less useful than others not currently used. Before producing the next AMR the range of indicators will be reviewed, and amended where appropriate including the addition of the two suggested indicators. When adding new indicators the ease of producing retrospective data for trend anal</w:t>
            </w:r>
            <w:r>
              <w:rPr>
                <w:rFonts w:cs="Arial"/>
              </w:rPr>
              <w:t xml:space="preserve">ysis will be taken into account, </w:t>
            </w:r>
            <w:r w:rsidRPr="00585DF7">
              <w:rPr>
                <w:rFonts w:cs="Arial"/>
              </w:rPr>
              <w:t>as will a principle of not increasing the size and complexity of the existing AMR and the resources required to compile it</w:t>
            </w:r>
            <w:r>
              <w:rPr>
                <w:rFonts w:cs="Arial"/>
              </w:rPr>
              <w:t>.</w:t>
            </w:r>
          </w:p>
        </w:tc>
        <w:tc>
          <w:tcPr>
            <w:tcW w:w="1701" w:type="dxa"/>
            <w:gridSpan w:val="2"/>
          </w:tcPr>
          <w:p w:rsidR="00EF37F3" w:rsidRPr="003E7E28" w:rsidRDefault="00EF37F3" w:rsidP="00AD0216">
            <w:pPr>
              <w:rPr>
                <w:rFonts w:cs="Arial"/>
              </w:rPr>
            </w:pPr>
            <w:r>
              <w:rPr>
                <w:rFonts w:cs="Arial"/>
              </w:rPr>
              <w:lastRenderedPageBreak/>
              <w:t xml:space="preserve">Cllr </w:t>
            </w:r>
            <w:r>
              <w:rPr>
                <w:rFonts w:cs="Arial"/>
              </w:rPr>
              <w:lastRenderedPageBreak/>
              <w:t xml:space="preserve">Hollingsworth &amp; Mark </w:t>
            </w:r>
            <w:proofErr w:type="spellStart"/>
            <w:r>
              <w:rPr>
                <w:rFonts w:cs="Arial"/>
              </w:rPr>
              <w:t>Jaggard</w:t>
            </w:r>
            <w:proofErr w:type="spellEnd"/>
          </w:p>
        </w:tc>
        <w:tc>
          <w:tcPr>
            <w:tcW w:w="1418" w:type="dxa"/>
          </w:tcPr>
          <w:p w:rsidR="00EF37F3" w:rsidRPr="003E7E28" w:rsidRDefault="00634CB5" w:rsidP="00AD0216">
            <w:pPr>
              <w:rPr>
                <w:rFonts w:cs="Arial"/>
              </w:rPr>
            </w:pPr>
            <w:r>
              <w:rPr>
                <w:rFonts w:cs="Arial"/>
              </w:rPr>
              <w:lastRenderedPageBreak/>
              <w:t>Nov 2016</w:t>
            </w:r>
          </w:p>
        </w:tc>
      </w:tr>
    </w:tbl>
    <w:p w:rsidR="001E5F82" w:rsidRDefault="001E5F82" w:rsidP="00512CAF"/>
    <w:p w:rsidR="009D6C90" w:rsidRDefault="009D6C90" w:rsidP="00512CAF"/>
    <w:p w:rsidR="009D6C90" w:rsidRDefault="009D6C90" w:rsidP="00512CAF"/>
    <w:sectPr w:rsidR="009D6C90" w:rsidSect="00AD0216">
      <w:head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02" w:rsidRDefault="00422502" w:rsidP="00B53CB3">
      <w:r>
        <w:separator/>
      </w:r>
    </w:p>
  </w:endnote>
  <w:endnote w:type="continuationSeparator" w:id="0">
    <w:p w:rsidR="00422502" w:rsidRDefault="00422502"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02" w:rsidRDefault="00422502" w:rsidP="00B53CB3">
      <w:r>
        <w:separator/>
      </w:r>
    </w:p>
  </w:footnote>
  <w:footnote w:type="continuationSeparator" w:id="0">
    <w:p w:rsidR="00422502" w:rsidRDefault="00422502"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422502" w:rsidP="00B53CB3">
    <w:pPr>
      <w:pStyle w:val="Header"/>
      <w:jc w:val="right"/>
    </w:pPr>
    <w:r>
      <w:t>2</w:t>
    </w:r>
    <w:r w:rsidR="00923B2B">
      <w:t>2</w:t>
    </w:r>
    <w:r>
      <w:t xml:space="preserve">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974F4F"/>
    <w:multiLevelType w:val="hybridMultilevel"/>
    <w:tmpl w:val="B13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3A28C1"/>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3D7E27"/>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9F7999"/>
    <w:multiLevelType w:val="hybridMultilevel"/>
    <w:tmpl w:val="8ACEAAF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3">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512DE5"/>
    <w:multiLevelType w:val="hybridMultilevel"/>
    <w:tmpl w:val="C2B2B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1"/>
  </w:num>
  <w:num w:numId="3">
    <w:abstractNumId w:val="35"/>
  </w:num>
  <w:num w:numId="4">
    <w:abstractNumId w:val="36"/>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24"/>
  </w:num>
  <w:num w:numId="10">
    <w:abstractNumId w:val="17"/>
  </w:num>
  <w:num w:numId="11">
    <w:abstractNumId w:val="5"/>
  </w:num>
  <w:num w:numId="12">
    <w:abstractNumId w:val="33"/>
  </w:num>
  <w:num w:numId="13">
    <w:abstractNumId w:val="26"/>
  </w:num>
  <w:num w:numId="14">
    <w:abstractNumId w:val="30"/>
  </w:num>
  <w:num w:numId="15">
    <w:abstractNumId w:val="7"/>
  </w:num>
  <w:num w:numId="16">
    <w:abstractNumId w:val="23"/>
  </w:num>
  <w:num w:numId="17">
    <w:abstractNumId w:val="16"/>
  </w:num>
  <w:num w:numId="18">
    <w:abstractNumId w:val="15"/>
  </w:num>
  <w:num w:numId="19">
    <w:abstractNumId w:val="25"/>
  </w:num>
  <w:num w:numId="20">
    <w:abstractNumId w:val="4"/>
  </w:num>
  <w:num w:numId="21">
    <w:abstractNumId w:val="1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num>
  <w:num w:numId="37">
    <w:abstractNumId w:val="9"/>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44F81"/>
    <w:rsid w:val="00050D31"/>
    <w:rsid w:val="00065D19"/>
    <w:rsid w:val="000907A4"/>
    <w:rsid w:val="000A4475"/>
    <w:rsid w:val="000A641D"/>
    <w:rsid w:val="000B4310"/>
    <w:rsid w:val="000C2351"/>
    <w:rsid w:val="000C7EFC"/>
    <w:rsid w:val="000F1206"/>
    <w:rsid w:val="000F3DFE"/>
    <w:rsid w:val="001035B3"/>
    <w:rsid w:val="00143D90"/>
    <w:rsid w:val="0017183A"/>
    <w:rsid w:val="00180D75"/>
    <w:rsid w:val="001D5FF1"/>
    <w:rsid w:val="001E5F82"/>
    <w:rsid w:val="001E75C0"/>
    <w:rsid w:val="001F088D"/>
    <w:rsid w:val="002014D2"/>
    <w:rsid w:val="002073B7"/>
    <w:rsid w:val="0021254A"/>
    <w:rsid w:val="002156E2"/>
    <w:rsid w:val="00220229"/>
    <w:rsid w:val="00223663"/>
    <w:rsid w:val="00231089"/>
    <w:rsid w:val="00233049"/>
    <w:rsid w:val="00234BF4"/>
    <w:rsid w:val="002511EA"/>
    <w:rsid w:val="00292169"/>
    <w:rsid w:val="002A0C78"/>
    <w:rsid w:val="002B2BFC"/>
    <w:rsid w:val="002B5B42"/>
    <w:rsid w:val="002C0C24"/>
    <w:rsid w:val="002E7B68"/>
    <w:rsid w:val="002F3A2A"/>
    <w:rsid w:val="003023E9"/>
    <w:rsid w:val="00316382"/>
    <w:rsid w:val="00326344"/>
    <w:rsid w:val="00327FFE"/>
    <w:rsid w:val="0035028E"/>
    <w:rsid w:val="00357022"/>
    <w:rsid w:val="003609CE"/>
    <w:rsid w:val="00372908"/>
    <w:rsid w:val="003868AF"/>
    <w:rsid w:val="00395D50"/>
    <w:rsid w:val="0039766A"/>
    <w:rsid w:val="003A37E9"/>
    <w:rsid w:val="003A4328"/>
    <w:rsid w:val="003A6504"/>
    <w:rsid w:val="003B3272"/>
    <w:rsid w:val="003C133A"/>
    <w:rsid w:val="003C1987"/>
    <w:rsid w:val="003C7868"/>
    <w:rsid w:val="003E3F0E"/>
    <w:rsid w:val="003E7E28"/>
    <w:rsid w:val="004000D7"/>
    <w:rsid w:val="00414EEA"/>
    <w:rsid w:val="00417C2D"/>
    <w:rsid w:val="00422502"/>
    <w:rsid w:val="00447415"/>
    <w:rsid w:val="004902A3"/>
    <w:rsid w:val="004A6057"/>
    <w:rsid w:val="004D284C"/>
    <w:rsid w:val="004E7776"/>
    <w:rsid w:val="00504E43"/>
    <w:rsid w:val="00512CAF"/>
    <w:rsid w:val="005220C5"/>
    <w:rsid w:val="00522963"/>
    <w:rsid w:val="0052636C"/>
    <w:rsid w:val="00551928"/>
    <w:rsid w:val="00571A41"/>
    <w:rsid w:val="00583C5A"/>
    <w:rsid w:val="00583F5B"/>
    <w:rsid w:val="00585DF7"/>
    <w:rsid w:val="005A0260"/>
    <w:rsid w:val="005B58FD"/>
    <w:rsid w:val="005C3282"/>
    <w:rsid w:val="005F5124"/>
    <w:rsid w:val="00603BD1"/>
    <w:rsid w:val="00614208"/>
    <w:rsid w:val="00623DA4"/>
    <w:rsid w:val="00625D14"/>
    <w:rsid w:val="006276C2"/>
    <w:rsid w:val="00634CB5"/>
    <w:rsid w:val="00637FCD"/>
    <w:rsid w:val="00640379"/>
    <w:rsid w:val="006625D8"/>
    <w:rsid w:val="00673B85"/>
    <w:rsid w:val="006F4EBF"/>
    <w:rsid w:val="006F5159"/>
    <w:rsid w:val="00706748"/>
    <w:rsid w:val="0071229E"/>
    <w:rsid w:val="0072169B"/>
    <w:rsid w:val="00753A00"/>
    <w:rsid w:val="00764563"/>
    <w:rsid w:val="00765F59"/>
    <w:rsid w:val="00770B64"/>
    <w:rsid w:val="00780C0F"/>
    <w:rsid w:val="007908F4"/>
    <w:rsid w:val="007A0A6C"/>
    <w:rsid w:val="007A4A33"/>
    <w:rsid w:val="007A7DC2"/>
    <w:rsid w:val="007B337C"/>
    <w:rsid w:val="007F368C"/>
    <w:rsid w:val="00807DCE"/>
    <w:rsid w:val="008314CD"/>
    <w:rsid w:val="008439EC"/>
    <w:rsid w:val="00844866"/>
    <w:rsid w:val="00846740"/>
    <w:rsid w:val="008510EC"/>
    <w:rsid w:val="00855DA9"/>
    <w:rsid w:val="00874529"/>
    <w:rsid w:val="008A22C6"/>
    <w:rsid w:val="008A7475"/>
    <w:rsid w:val="008B5F60"/>
    <w:rsid w:val="008C0949"/>
    <w:rsid w:val="008C55F1"/>
    <w:rsid w:val="008D23EB"/>
    <w:rsid w:val="008D24F2"/>
    <w:rsid w:val="008D519F"/>
    <w:rsid w:val="008D73A0"/>
    <w:rsid w:val="00923B2B"/>
    <w:rsid w:val="00933E25"/>
    <w:rsid w:val="00933FB7"/>
    <w:rsid w:val="0095142D"/>
    <w:rsid w:val="00956626"/>
    <w:rsid w:val="009739FF"/>
    <w:rsid w:val="0097480E"/>
    <w:rsid w:val="009775AE"/>
    <w:rsid w:val="00980EFA"/>
    <w:rsid w:val="00985E86"/>
    <w:rsid w:val="00991CB7"/>
    <w:rsid w:val="009B54B8"/>
    <w:rsid w:val="009D6C90"/>
    <w:rsid w:val="00A068C0"/>
    <w:rsid w:val="00A148F9"/>
    <w:rsid w:val="00A2637A"/>
    <w:rsid w:val="00A308B0"/>
    <w:rsid w:val="00A52ED5"/>
    <w:rsid w:val="00A82BD6"/>
    <w:rsid w:val="00A8300A"/>
    <w:rsid w:val="00AA0338"/>
    <w:rsid w:val="00AA66C9"/>
    <w:rsid w:val="00AB74FD"/>
    <w:rsid w:val="00AD0216"/>
    <w:rsid w:val="00AD2B44"/>
    <w:rsid w:val="00AD4070"/>
    <w:rsid w:val="00B035ED"/>
    <w:rsid w:val="00B06093"/>
    <w:rsid w:val="00B07D30"/>
    <w:rsid w:val="00B15A23"/>
    <w:rsid w:val="00B44C14"/>
    <w:rsid w:val="00B53CB3"/>
    <w:rsid w:val="00B546F7"/>
    <w:rsid w:val="00B85A5C"/>
    <w:rsid w:val="00B87404"/>
    <w:rsid w:val="00B92E5F"/>
    <w:rsid w:val="00B96221"/>
    <w:rsid w:val="00BA635A"/>
    <w:rsid w:val="00BB1942"/>
    <w:rsid w:val="00BB5FA4"/>
    <w:rsid w:val="00BB68B5"/>
    <w:rsid w:val="00BC1E44"/>
    <w:rsid w:val="00BD10F5"/>
    <w:rsid w:val="00BD198F"/>
    <w:rsid w:val="00BD7A68"/>
    <w:rsid w:val="00BE05DB"/>
    <w:rsid w:val="00BE4848"/>
    <w:rsid w:val="00BF26ED"/>
    <w:rsid w:val="00C07F80"/>
    <w:rsid w:val="00C36F77"/>
    <w:rsid w:val="00C57971"/>
    <w:rsid w:val="00C650ED"/>
    <w:rsid w:val="00C711B7"/>
    <w:rsid w:val="00C90875"/>
    <w:rsid w:val="00CA6277"/>
    <w:rsid w:val="00CB5B94"/>
    <w:rsid w:val="00CC30CF"/>
    <w:rsid w:val="00CC680A"/>
    <w:rsid w:val="00CD1800"/>
    <w:rsid w:val="00CE452A"/>
    <w:rsid w:val="00CF193A"/>
    <w:rsid w:val="00CF3D58"/>
    <w:rsid w:val="00D00793"/>
    <w:rsid w:val="00D17647"/>
    <w:rsid w:val="00D23053"/>
    <w:rsid w:val="00D231E7"/>
    <w:rsid w:val="00D3561F"/>
    <w:rsid w:val="00D52741"/>
    <w:rsid w:val="00D57AC1"/>
    <w:rsid w:val="00D67F33"/>
    <w:rsid w:val="00D9155A"/>
    <w:rsid w:val="00D93E13"/>
    <w:rsid w:val="00DA317E"/>
    <w:rsid w:val="00DA4198"/>
    <w:rsid w:val="00DB6F15"/>
    <w:rsid w:val="00DE2811"/>
    <w:rsid w:val="00DE7627"/>
    <w:rsid w:val="00DF2345"/>
    <w:rsid w:val="00E07E73"/>
    <w:rsid w:val="00E4362E"/>
    <w:rsid w:val="00E57A03"/>
    <w:rsid w:val="00E7113B"/>
    <w:rsid w:val="00E73644"/>
    <w:rsid w:val="00E802C3"/>
    <w:rsid w:val="00EA7849"/>
    <w:rsid w:val="00EB2B57"/>
    <w:rsid w:val="00EC1706"/>
    <w:rsid w:val="00EF37F3"/>
    <w:rsid w:val="00EF4CF3"/>
    <w:rsid w:val="00F01082"/>
    <w:rsid w:val="00F20E3E"/>
    <w:rsid w:val="00F23B74"/>
    <w:rsid w:val="00F30829"/>
    <w:rsid w:val="00F359DF"/>
    <w:rsid w:val="00F551A2"/>
    <w:rsid w:val="00F6011E"/>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 w:id="1885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C374-9E5E-43BC-BB1F-2DDB2679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A6CDE57C</Template>
  <TotalTime>5</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abrown2</cp:lastModifiedBy>
  <cp:revision>5</cp:revision>
  <dcterms:created xsi:type="dcterms:W3CDTF">2015-12-22T12:01:00Z</dcterms:created>
  <dcterms:modified xsi:type="dcterms:W3CDTF">2015-12-29T16:30:00Z</dcterms:modified>
</cp:coreProperties>
</file>